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400B" w14:textId="77777777" w:rsidR="00E60753" w:rsidRDefault="00E60753" w:rsidP="00E60753">
      <w:pPr>
        <w:pStyle w:val="NormalWeb"/>
        <w:numPr>
          <w:ilvl w:val="0"/>
          <w:numId w:val="1"/>
        </w:numPr>
        <w:spacing w:before="0" w:beforeAutospacing="0" w:after="0" w:afterAutospacing="0"/>
      </w:pPr>
      <w:r>
        <w:rPr>
          <w:rFonts w:ascii="Helvetica" w:hAnsi="Helvetica" w:cs="Helvetica"/>
          <w:b/>
          <w:bCs/>
        </w:rPr>
        <w:t xml:space="preserve">Neutral Vend (NV) or Master Vend (MV) Agency Supplier: </w:t>
      </w:r>
    </w:p>
    <w:p w14:paraId="224EB02D"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Medical </w:t>
      </w:r>
    </w:p>
    <w:p w14:paraId="3FC98172" w14:textId="77777777" w:rsidR="00E60753" w:rsidRDefault="00E60753" w:rsidP="00E60753">
      <w:pPr>
        <w:pStyle w:val="NormalWeb"/>
        <w:numPr>
          <w:ilvl w:val="0"/>
          <w:numId w:val="2"/>
        </w:numPr>
        <w:spacing w:before="0" w:beforeAutospacing="0" w:after="0" w:afterAutospacing="0"/>
        <w:rPr>
          <w:rFonts w:ascii="Helvetica" w:hAnsi="Helvetica" w:cs="Helvetica"/>
          <w:b/>
          <w:bCs/>
        </w:rPr>
      </w:pPr>
      <w:r>
        <w:rPr>
          <w:rFonts w:ascii="Helvetica" w:hAnsi="Helvetica" w:cs="Helvetica"/>
          <w:b/>
          <w:bCs/>
        </w:rPr>
        <w:t xml:space="preserve">Name of the NV or MV agency supplier </w:t>
      </w:r>
    </w:p>
    <w:p w14:paraId="3077B6C0" w14:textId="77777777" w:rsidR="00E60753" w:rsidRDefault="00E60753" w:rsidP="00E60753">
      <w:pPr>
        <w:pStyle w:val="NormalWeb"/>
        <w:numPr>
          <w:ilvl w:val="0"/>
          <w:numId w:val="2"/>
        </w:numPr>
        <w:spacing w:before="0" w:beforeAutospacing="0" w:after="0" w:afterAutospacing="0"/>
        <w:rPr>
          <w:rFonts w:ascii="Helvetica" w:hAnsi="Helvetica" w:cs="Helvetica"/>
          <w:b/>
          <w:bCs/>
        </w:rPr>
      </w:pPr>
      <w:r>
        <w:rPr>
          <w:rFonts w:ascii="Helvetica" w:hAnsi="Helvetica" w:cs="Helvetica"/>
          <w:b/>
          <w:bCs/>
        </w:rPr>
        <w:t xml:space="preserve">Expiry date of contract with the NV or MV agency supplier? </w:t>
      </w:r>
    </w:p>
    <w:p w14:paraId="7BAAB066" w14:textId="77777777" w:rsidR="00E60753" w:rsidRPr="009E1FE0" w:rsidRDefault="00E60753" w:rsidP="00E60753">
      <w:pPr>
        <w:pStyle w:val="NormalWeb"/>
        <w:spacing w:before="0" w:beforeAutospacing="0" w:after="0" w:afterAutospacing="0"/>
        <w:ind w:left="1080" w:firstLine="720"/>
        <w:rPr>
          <w:color w:val="4472C4" w:themeColor="accent1"/>
        </w:rPr>
      </w:pPr>
      <w:r w:rsidRPr="009E1FE0">
        <w:rPr>
          <w:color w:val="4472C4" w:themeColor="accent1"/>
        </w:rPr>
        <w:t xml:space="preserve">Medical/Dental - No service provider. </w:t>
      </w:r>
    </w:p>
    <w:p w14:paraId="5E3E324A" w14:textId="77777777" w:rsidR="00E60753" w:rsidRPr="00432208" w:rsidRDefault="00E60753" w:rsidP="00E60753">
      <w:pPr>
        <w:pStyle w:val="NormalWeb"/>
        <w:spacing w:before="0" w:beforeAutospacing="0" w:after="0" w:afterAutospacing="0"/>
        <w:rPr>
          <w:color w:val="FF0000"/>
        </w:rPr>
      </w:pPr>
    </w:p>
    <w:p w14:paraId="131C16D4"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Allied Health Professionals (AHPs) </w:t>
      </w:r>
    </w:p>
    <w:p w14:paraId="37A4839B"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Name of the NV or MV agency supplier </w:t>
      </w:r>
    </w:p>
    <w:p w14:paraId="3D599AD0"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Expiry date of contract with the NV or MV agency supplier </w:t>
      </w:r>
    </w:p>
    <w:p w14:paraId="3194FEAC" w14:textId="34C219DA" w:rsidR="00E60753" w:rsidRPr="009E1FE0" w:rsidRDefault="00E60753" w:rsidP="00E60753">
      <w:pPr>
        <w:pStyle w:val="NormalWeb"/>
        <w:spacing w:before="0" w:beforeAutospacing="0" w:after="0" w:afterAutospacing="0"/>
        <w:ind w:left="2160"/>
        <w:rPr>
          <w:color w:val="4472C4" w:themeColor="accent1"/>
        </w:rPr>
      </w:pPr>
      <w:r w:rsidRPr="009E1FE0">
        <w:rPr>
          <w:color w:val="4472C4" w:themeColor="accent1"/>
        </w:rPr>
        <w:t>Allied Health Professionals/Scientific, Therapeutic and Technical - NHSP, master vendor, contract expiry 31/07/202</w:t>
      </w:r>
      <w:r w:rsidR="009E1FE0" w:rsidRPr="009E1FE0">
        <w:rPr>
          <w:color w:val="4472C4" w:themeColor="accent1"/>
        </w:rPr>
        <w:t>4</w:t>
      </w:r>
    </w:p>
    <w:p w14:paraId="3BFACF8C" w14:textId="77777777" w:rsidR="00E60753" w:rsidRPr="00432208" w:rsidRDefault="00E60753" w:rsidP="00E60753">
      <w:pPr>
        <w:pStyle w:val="NormalWeb"/>
        <w:spacing w:before="0" w:beforeAutospacing="0" w:after="0" w:afterAutospacing="0"/>
        <w:rPr>
          <w:color w:val="FF0000"/>
        </w:rPr>
      </w:pPr>
    </w:p>
    <w:p w14:paraId="1FF8F724"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Nursing </w:t>
      </w:r>
    </w:p>
    <w:p w14:paraId="2D2DEC48"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Name of the NV or MV agency supplier </w:t>
      </w:r>
    </w:p>
    <w:p w14:paraId="55CE5594"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Expiry date of contract with the NV or MV agency supplier </w:t>
      </w:r>
    </w:p>
    <w:p w14:paraId="67B5FD48" w14:textId="0ECAF344" w:rsidR="00E60753" w:rsidRPr="009E1FE0" w:rsidRDefault="00E60753" w:rsidP="00E60753">
      <w:pPr>
        <w:pStyle w:val="NormalWeb"/>
        <w:spacing w:before="0" w:beforeAutospacing="0" w:after="0" w:afterAutospacing="0"/>
        <w:ind w:left="1800"/>
        <w:rPr>
          <w:color w:val="4472C4" w:themeColor="accent1"/>
        </w:rPr>
      </w:pPr>
      <w:r w:rsidRPr="009E1FE0">
        <w:rPr>
          <w:color w:val="4472C4" w:themeColor="accent1"/>
        </w:rPr>
        <w:t>Nursing and Midwifery/Healthcare Assistants - NHSP, master vendor, contract expiry 31/07/202</w:t>
      </w:r>
      <w:r w:rsidR="009E1FE0" w:rsidRPr="009E1FE0">
        <w:rPr>
          <w:color w:val="4472C4" w:themeColor="accent1"/>
        </w:rPr>
        <w:t>4</w:t>
      </w:r>
    </w:p>
    <w:p w14:paraId="4BC2B049" w14:textId="77777777" w:rsidR="00E60753" w:rsidRDefault="00E60753" w:rsidP="00E60753">
      <w:pPr>
        <w:pStyle w:val="NormalWeb"/>
        <w:spacing w:before="0" w:beforeAutospacing="0" w:after="0" w:afterAutospacing="0"/>
        <w:rPr>
          <w:color w:val="FF0000"/>
        </w:rPr>
      </w:pPr>
    </w:p>
    <w:p w14:paraId="06F1C766" w14:textId="77777777" w:rsidR="00E60753" w:rsidRPr="00432208" w:rsidRDefault="00E60753" w:rsidP="00E60753">
      <w:pPr>
        <w:pStyle w:val="NormalWeb"/>
        <w:spacing w:before="0" w:beforeAutospacing="0" w:after="0" w:afterAutospacing="0"/>
        <w:rPr>
          <w:color w:val="FF0000"/>
        </w:rPr>
      </w:pPr>
    </w:p>
    <w:p w14:paraId="047B5698"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Non-Medical, Non-Clinical (NMNC) </w:t>
      </w:r>
    </w:p>
    <w:p w14:paraId="0AB5C416"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Name of the NV or MV agency supplier </w:t>
      </w:r>
    </w:p>
    <w:p w14:paraId="7A3042AD"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Expiry date of contract with the NV or MV agency supplier</w:t>
      </w:r>
    </w:p>
    <w:p w14:paraId="287ADA04" w14:textId="77777777" w:rsidR="00E60753" w:rsidRPr="009E1FE0" w:rsidRDefault="00E60753" w:rsidP="00E60753">
      <w:pPr>
        <w:pStyle w:val="NormalWeb"/>
        <w:spacing w:before="0" w:beforeAutospacing="0" w:after="0" w:afterAutospacing="0"/>
        <w:ind w:left="1260" w:firstLine="180"/>
        <w:rPr>
          <w:color w:val="4472C4" w:themeColor="accent1"/>
        </w:rPr>
      </w:pPr>
      <w:r w:rsidRPr="009E1FE0">
        <w:rPr>
          <w:color w:val="4472C4" w:themeColor="accent1"/>
        </w:rPr>
        <w:t>Non-Medical, Non-Clinical - No service provider.</w:t>
      </w:r>
    </w:p>
    <w:p w14:paraId="0C0A85FA" w14:textId="77777777" w:rsidR="00E60753" w:rsidRDefault="00E60753" w:rsidP="00E60753">
      <w:pPr>
        <w:pStyle w:val="NormalWeb"/>
        <w:spacing w:before="0" w:beforeAutospacing="0" w:after="0" w:afterAutospacing="0"/>
        <w:rPr>
          <w:color w:val="FF0000"/>
        </w:rPr>
      </w:pPr>
    </w:p>
    <w:p w14:paraId="0AC275FB" w14:textId="77777777" w:rsidR="00E60753" w:rsidRPr="00432208" w:rsidRDefault="00E60753" w:rsidP="00E60753">
      <w:pPr>
        <w:pStyle w:val="NormalWeb"/>
        <w:spacing w:before="0" w:beforeAutospacing="0" w:after="0" w:afterAutospacing="0"/>
        <w:rPr>
          <w:rFonts w:ascii="Helvetica" w:hAnsi="Helvetica" w:cs="Helvetica"/>
          <w:b/>
          <w:bCs/>
        </w:rPr>
      </w:pPr>
    </w:p>
    <w:p w14:paraId="6134CD76" w14:textId="77777777" w:rsidR="00E60753" w:rsidRDefault="00E60753" w:rsidP="00E60753">
      <w:pPr>
        <w:pStyle w:val="NormalWeb"/>
        <w:numPr>
          <w:ilvl w:val="0"/>
          <w:numId w:val="1"/>
        </w:numPr>
        <w:spacing w:before="0" w:beforeAutospacing="0" w:after="0" w:afterAutospacing="0"/>
      </w:pPr>
      <w:r>
        <w:rPr>
          <w:rFonts w:ascii="Helvetica" w:hAnsi="Helvetica" w:cs="Helvetica"/>
          <w:b/>
          <w:bCs/>
        </w:rPr>
        <w:t xml:space="preserve">Direct Engagement (DE): </w:t>
      </w:r>
    </w:p>
    <w:p w14:paraId="41BB194F"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Medical </w:t>
      </w:r>
    </w:p>
    <w:p w14:paraId="41C6C5B0"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Name of the DE provider </w:t>
      </w:r>
    </w:p>
    <w:p w14:paraId="019AD08D"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Expiry date of contract with the DE provider </w:t>
      </w:r>
    </w:p>
    <w:p w14:paraId="2B3F5C02"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 of DE currently achieved </w:t>
      </w:r>
    </w:p>
    <w:p w14:paraId="38B987B4" w14:textId="77777777" w:rsidR="00E60753" w:rsidRPr="009E1FE0" w:rsidRDefault="00E60753" w:rsidP="00E60753">
      <w:pPr>
        <w:pStyle w:val="NormalWeb"/>
        <w:spacing w:before="0" w:beforeAutospacing="0" w:after="0" w:afterAutospacing="0"/>
        <w:ind w:left="1800"/>
        <w:rPr>
          <w:rFonts w:ascii="Helvetica" w:hAnsi="Helvetica" w:cs="Helvetica"/>
          <w:color w:val="4472C4" w:themeColor="accent1"/>
        </w:rPr>
      </w:pPr>
      <w:proofErr w:type="spellStart"/>
      <w:r w:rsidRPr="009E1FE0">
        <w:rPr>
          <w:rFonts w:ascii="Helvetica" w:hAnsi="Helvetica" w:cs="Helvetica"/>
          <w:color w:val="4472C4" w:themeColor="accent1"/>
        </w:rPr>
        <w:t>TempRe</w:t>
      </w:r>
      <w:proofErr w:type="spellEnd"/>
      <w:r w:rsidRPr="009E1FE0">
        <w:rPr>
          <w:rFonts w:ascii="Helvetica" w:hAnsi="Helvetica" w:cs="Helvetica"/>
          <w:color w:val="4472C4" w:themeColor="accent1"/>
        </w:rPr>
        <w:t xml:space="preserve"> (Direct Engagement)</w:t>
      </w:r>
    </w:p>
    <w:p w14:paraId="4097D49A" w14:textId="77777777" w:rsidR="00E60753" w:rsidRPr="009E1FE0" w:rsidRDefault="00E60753" w:rsidP="00E60753">
      <w:pPr>
        <w:pStyle w:val="NormalWeb"/>
        <w:spacing w:before="0" w:beforeAutospacing="0" w:after="0" w:afterAutospacing="0"/>
        <w:ind w:left="1800"/>
        <w:rPr>
          <w:rFonts w:ascii="Helvetica" w:hAnsi="Helvetica" w:cs="Helvetica"/>
          <w:color w:val="4472C4" w:themeColor="accent1"/>
        </w:rPr>
      </w:pPr>
      <w:r w:rsidRPr="009E1FE0">
        <w:rPr>
          <w:rFonts w:ascii="Helvetica" w:hAnsi="Helvetica" w:cs="Helvetica"/>
          <w:color w:val="4472C4" w:themeColor="accent1"/>
        </w:rPr>
        <w:t>30/06/2025</w:t>
      </w:r>
    </w:p>
    <w:p w14:paraId="1BC3EFC4"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Allied Health Professionals (AHPs) </w:t>
      </w:r>
    </w:p>
    <w:p w14:paraId="46D1E12F"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Name of the DE provider </w:t>
      </w:r>
    </w:p>
    <w:p w14:paraId="7CB89DA4"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Expiry date of contract with the DE provider </w:t>
      </w:r>
    </w:p>
    <w:p w14:paraId="5184870D"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 of DE currently achieved </w:t>
      </w:r>
    </w:p>
    <w:p w14:paraId="643DDBE8"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Pr>
          <w:rFonts w:ascii="Helvetica" w:hAnsi="Helvetica" w:cs="Helvetica"/>
          <w:b/>
          <w:bCs/>
        </w:rPr>
        <w:t xml:space="preserve">Non-Medical, Non-Clinical (NMNC) </w:t>
      </w:r>
    </w:p>
    <w:p w14:paraId="342A397C"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Name of the DE provider </w:t>
      </w:r>
    </w:p>
    <w:p w14:paraId="52EC1A98"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xml:space="preserve">Expiry date of contract with the DE provider </w:t>
      </w:r>
    </w:p>
    <w:p w14:paraId="46C51D2C" w14:textId="77777777" w:rsidR="00E60753" w:rsidRDefault="00E60753" w:rsidP="00E60753">
      <w:pPr>
        <w:pStyle w:val="NormalWeb"/>
        <w:numPr>
          <w:ilvl w:val="0"/>
          <w:numId w:val="3"/>
        </w:numPr>
        <w:spacing w:before="0" w:beforeAutospacing="0" w:after="0" w:afterAutospacing="0"/>
        <w:rPr>
          <w:rFonts w:ascii="Helvetica" w:hAnsi="Helvetica" w:cs="Helvetica"/>
          <w:b/>
          <w:bCs/>
        </w:rPr>
      </w:pPr>
      <w:r>
        <w:rPr>
          <w:rFonts w:ascii="Helvetica" w:hAnsi="Helvetica" w:cs="Helvetica"/>
          <w:b/>
          <w:bCs/>
        </w:rPr>
        <w:t>% of DE currently achieved</w:t>
      </w:r>
    </w:p>
    <w:p w14:paraId="12FD06AA" w14:textId="77777777" w:rsidR="00E60753" w:rsidRPr="009E1FE0" w:rsidRDefault="00E60753" w:rsidP="00E60753">
      <w:pPr>
        <w:pStyle w:val="NormalWeb"/>
        <w:spacing w:before="0" w:beforeAutospacing="0" w:after="0" w:afterAutospacing="0"/>
        <w:ind w:left="360"/>
        <w:rPr>
          <w:color w:val="4472C4" w:themeColor="accent1"/>
        </w:rPr>
      </w:pPr>
      <w:r w:rsidRPr="009E1FE0">
        <w:rPr>
          <w:color w:val="4472C4" w:themeColor="accent1"/>
        </w:rPr>
        <w:t>The Walton Centre NHS Foundation Trust uses QE Facilities for all the above for VAT reclaim, there is no contract end date.</w:t>
      </w:r>
    </w:p>
    <w:p w14:paraId="0FF56DE5" w14:textId="77777777" w:rsidR="00E60753" w:rsidRDefault="00E60753" w:rsidP="00E60753">
      <w:pPr>
        <w:pStyle w:val="NormalWeb"/>
        <w:spacing w:before="0" w:beforeAutospacing="0" w:after="0" w:afterAutospacing="0"/>
        <w:ind w:left="360"/>
        <w:rPr>
          <w:color w:val="FF0000"/>
        </w:rPr>
      </w:pPr>
    </w:p>
    <w:p w14:paraId="55859E44" w14:textId="77777777" w:rsidR="00E60753" w:rsidRPr="009E1FE0" w:rsidRDefault="00E60753" w:rsidP="00E60753">
      <w:pPr>
        <w:pStyle w:val="NormalWeb"/>
        <w:numPr>
          <w:ilvl w:val="0"/>
          <w:numId w:val="1"/>
        </w:numPr>
        <w:spacing w:before="0" w:beforeAutospacing="0" w:after="0" w:afterAutospacing="0"/>
      </w:pPr>
      <w:r w:rsidRPr="009E1FE0">
        <w:rPr>
          <w:rFonts w:ascii="Helvetica" w:hAnsi="Helvetica" w:cs="Helvetica"/>
          <w:b/>
          <w:bCs/>
        </w:rPr>
        <w:t xml:space="preserve">Financial Year 2022/2023 (or most recent if available) - spend figures on temporary agency staffing - (worker pay &amp; agency commission only): </w:t>
      </w:r>
    </w:p>
    <w:p w14:paraId="021579C3"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 xml:space="preserve">Medical </w:t>
      </w:r>
    </w:p>
    <w:p w14:paraId="0CECE644"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 xml:space="preserve">Allied Health Professionals (AHPs) </w:t>
      </w:r>
    </w:p>
    <w:p w14:paraId="774A6990"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 xml:space="preserve">Nursing </w:t>
      </w:r>
    </w:p>
    <w:p w14:paraId="7CC0A63F"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Non-Medical, Non-Clinical (NMNC)</w:t>
      </w:r>
    </w:p>
    <w:p w14:paraId="6054169F" w14:textId="77777777" w:rsidR="0024794B" w:rsidRDefault="0024794B" w:rsidP="0024794B">
      <w:pPr>
        <w:pStyle w:val="NormalWeb"/>
        <w:spacing w:before="0" w:beforeAutospacing="0" w:after="0" w:afterAutospacing="0"/>
        <w:rPr>
          <w:rFonts w:ascii="Helvetica" w:hAnsi="Helvetica" w:cs="Helvetica"/>
          <w:b/>
          <w:bCs/>
        </w:rPr>
      </w:pPr>
    </w:p>
    <w:p w14:paraId="0998E26C" w14:textId="77777777" w:rsidR="0024794B" w:rsidRDefault="0024794B" w:rsidP="0024794B">
      <w:pPr>
        <w:pStyle w:val="NormalWeb"/>
        <w:spacing w:before="0" w:beforeAutospacing="0" w:after="0" w:afterAutospacing="0"/>
        <w:rPr>
          <w:rFonts w:ascii="Helvetica" w:hAnsi="Helvetica" w:cs="Helvetica"/>
          <w:b/>
          <w:bCs/>
        </w:rPr>
      </w:pPr>
    </w:p>
    <w:tbl>
      <w:tblPr>
        <w:tblW w:w="5514" w:type="dxa"/>
        <w:tblLook w:val="04A0" w:firstRow="1" w:lastRow="0" w:firstColumn="1" w:lastColumn="0" w:noHBand="0" w:noVBand="1"/>
      </w:tblPr>
      <w:tblGrid>
        <w:gridCol w:w="2632"/>
        <w:gridCol w:w="2608"/>
        <w:gridCol w:w="1162"/>
      </w:tblGrid>
      <w:tr w:rsidR="0024794B" w:rsidRPr="0024794B" w14:paraId="40C09834"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4472C4" w:fill="4472C4"/>
            <w:noWrap/>
            <w:vAlign w:val="bottom"/>
            <w:hideMark/>
          </w:tcPr>
          <w:p w14:paraId="5EAD801F" w14:textId="77777777" w:rsidR="0024794B" w:rsidRPr="0024794B" w:rsidRDefault="0024794B" w:rsidP="0024794B">
            <w:pPr>
              <w:rPr>
                <w:rFonts w:ascii="Arial" w:hAnsi="Arial" w:cs="Arial"/>
                <w:b/>
                <w:bCs/>
                <w:color w:val="FFFFFF"/>
                <w:sz w:val="20"/>
                <w:szCs w:val="20"/>
              </w:rPr>
            </w:pPr>
            <w:r w:rsidRPr="0024794B">
              <w:rPr>
                <w:rFonts w:ascii="Arial" w:hAnsi="Arial" w:cs="Arial"/>
                <w:b/>
                <w:bCs/>
                <w:color w:val="FFFFFF"/>
                <w:sz w:val="20"/>
                <w:szCs w:val="20"/>
              </w:rPr>
              <w:t>Supplier</w:t>
            </w:r>
          </w:p>
        </w:tc>
        <w:tc>
          <w:tcPr>
            <w:tcW w:w="2608" w:type="dxa"/>
            <w:tcBorders>
              <w:top w:val="single" w:sz="4" w:space="0" w:color="8EA9DB"/>
              <w:left w:val="nil"/>
              <w:bottom w:val="single" w:sz="4" w:space="0" w:color="8EA9DB"/>
              <w:right w:val="nil"/>
            </w:tcBorders>
            <w:shd w:val="clear" w:color="4472C4" w:fill="4472C4"/>
            <w:noWrap/>
            <w:vAlign w:val="bottom"/>
            <w:hideMark/>
          </w:tcPr>
          <w:p w14:paraId="41190E3D" w14:textId="77777777" w:rsidR="0024794B" w:rsidRPr="0024794B" w:rsidRDefault="0024794B" w:rsidP="0024794B">
            <w:pPr>
              <w:rPr>
                <w:rFonts w:ascii="Arial" w:hAnsi="Arial" w:cs="Arial"/>
                <w:b/>
                <w:bCs/>
                <w:color w:val="FFFFFF"/>
                <w:sz w:val="20"/>
                <w:szCs w:val="20"/>
              </w:rPr>
            </w:pPr>
            <w:r w:rsidRPr="0024794B">
              <w:rPr>
                <w:rFonts w:ascii="Arial" w:hAnsi="Arial" w:cs="Arial"/>
                <w:b/>
                <w:bCs/>
                <w:color w:val="FFFFFF"/>
                <w:sz w:val="20"/>
                <w:szCs w:val="20"/>
              </w:rPr>
              <w:t>COST_CENTRE</w:t>
            </w:r>
          </w:p>
        </w:tc>
        <w:tc>
          <w:tcPr>
            <w:tcW w:w="274" w:type="dxa"/>
            <w:tcBorders>
              <w:top w:val="single" w:sz="4" w:space="0" w:color="8EA9DB"/>
              <w:left w:val="nil"/>
              <w:bottom w:val="single" w:sz="4" w:space="0" w:color="8EA9DB"/>
              <w:right w:val="single" w:sz="4" w:space="0" w:color="8EA9DB"/>
            </w:tcBorders>
            <w:shd w:val="clear" w:color="4472C4" w:fill="4472C4"/>
            <w:noWrap/>
            <w:vAlign w:val="bottom"/>
            <w:hideMark/>
          </w:tcPr>
          <w:p w14:paraId="7943FFFD" w14:textId="77777777" w:rsidR="0024794B" w:rsidRPr="0024794B" w:rsidRDefault="0024794B" w:rsidP="0024794B">
            <w:pPr>
              <w:rPr>
                <w:rFonts w:ascii="Arial" w:hAnsi="Arial" w:cs="Arial"/>
                <w:b/>
                <w:bCs/>
                <w:color w:val="FFFFFF"/>
                <w:sz w:val="20"/>
                <w:szCs w:val="20"/>
              </w:rPr>
            </w:pPr>
            <w:r w:rsidRPr="0024794B">
              <w:rPr>
                <w:rFonts w:ascii="Arial" w:hAnsi="Arial" w:cs="Arial"/>
                <w:b/>
                <w:bCs/>
                <w:color w:val="FFFFFF"/>
                <w:sz w:val="20"/>
                <w:szCs w:val="20"/>
              </w:rPr>
              <w:t>22/23</w:t>
            </w:r>
          </w:p>
        </w:tc>
      </w:tr>
      <w:tr w:rsidR="009E1FE0" w:rsidRPr="009E1FE0" w14:paraId="38B70143"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D9E1F2" w:fill="D9E1F2"/>
            <w:noWrap/>
            <w:vAlign w:val="bottom"/>
            <w:hideMark/>
          </w:tcPr>
          <w:p w14:paraId="379BD024" w14:textId="77777777" w:rsidR="0024794B" w:rsidRPr="009E1FE0" w:rsidRDefault="0024794B" w:rsidP="0024794B">
            <w:pPr>
              <w:rPr>
                <w:rFonts w:ascii="Arial" w:hAnsi="Arial" w:cs="Arial"/>
                <w:color w:val="4472C4" w:themeColor="accent1"/>
                <w:sz w:val="20"/>
                <w:szCs w:val="20"/>
              </w:rPr>
            </w:pPr>
            <w:proofErr w:type="spellStart"/>
            <w:r w:rsidRPr="009E1FE0">
              <w:rPr>
                <w:rFonts w:ascii="Arial" w:hAnsi="Arial" w:cs="Arial"/>
                <w:color w:val="4472C4" w:themeColor="accent1"/>
                <w:sz w:val="20"/>
                <w:szCs w:val="20"/>
              </w:rPr>
              <w:t>Applocum</w:t>
            </w:r>
            <w:proofErr w:type="spellEnd"/>
            <w:r w:rsidRPr="009E1FE0">
              <w:rPr>
                <w:rFonts w:ascii="Arial" w:hAnsi="Arial" w:cs="Arial"/>
                <w:color w:val="4472C4" w:themeColor="accent1"/>
                <w:sz w:val="20"/>
                <w:szCs w:val="20"/>
              </w:rPr>
              <w:t xml:space="preserve"> Staffing Ltd</w:t>
            </w:r>
          </w:p>
        </w:tc>
        <w:tc>
          <w:tcPr>
            <w:tcW w:w="2608" w:type="dxa"/>
            <w:tcBorders>
              <w:top w:val="single" w:sz="4" w:space="0" w:color="8EA9DB"/>
              <w:left w:val="nil"/>
              <w:bottom w:val="single" w:sz="4" w:space="0" w:color="8EA9DB"/>
              <w:right w:val="nil"/>
            </w:tcBorders>
            <w:shd w:val="clear" w:color="D9E1F2" w:fill="D9E1F2"/>
            <w:noWrap/>
            <w:vAlign w:val="bottom"/>
            <w:hideMark/>
          </w:tcPr>
          <w:p w14:paraId="6F8CD954" w14:textId="5D163340" w:rsidR="0024794B" w:rsidRPr="009E1FE0" w:rsidRDefault="00735DDF" w:rsidP="0024794B">
            <w:pPr>
              <w:rPr>
                <w:rFonts w:ascii="Arial" w:hAnsi="Arial" w:cs="Arial"/>
                <w:color w:val="4472C4" w:themeColor="accent1"/>
                <w:sz w:val="20"/>
                <w:szCs w:val="20"/>
              </w:rPr>
            </w:pPr>
            <w:r w:rsidRPr="009E1FE0">
              <w:rPr>
                <w:rFonts w:ascii="Arial" w:hAnsi="Arial" w:cs="Arial"/>
                <w:color w:val="4472C4" w:themeColor="accent1"/>
                <w:sz w:val="20"/>
                <w:szCs w:val="20"/>
              </w:rPr>
              <w:t>Theatres</w:t>
            </w:r>
          </w:p>
        </w:tc>
        <w:tc>
          <w:tcPr>
            <w:tcW w:w="274" w:type="dxa"/>
            <w:tcBorders>
              <w:top w:val="single" w:sz="4" w:space="0" w:color="8EA9DB"/>
              <w:left w:val="nil"/>
              <w:bottom w:val="single" w:sz="4" w:space="0" w:color="8EA9DB"/>
              <w:right w:val="single" w:sz="4" w:space="0" w:color="8EA9DB"/>
            </w:tcBorders>
            <w:shd w:val="clear" w:color="D9E1F2" w:fill="D9E1F2"/>
            <w:noWrap/>
            <w:vAlign w:val="bottom"/>
            <w:hideMark/>
          </w:tcPr>
          <w:p w14:paraId="097A6D12" w14:textId="493302EE" w:rsidR="0024794B" w:rsidRPr="009E1FE0" w:rsidRDefault="0024794B" w:rsidP="0024794B">
            <w:pPr>
              <w:jc w:val="right"/>
              <w:rPr>
                <w:rFonts w:ascii="Arial" w:hAnsi="Arial" w:cs="Arial"/>
                <w:color w:val="4472C4" w:themeColor="accent1"/>
                <w:sz w:val="20"/>
                <w:szCs w:val="20"/>
              </w:rPr>
            </w:pPr>
            <w:r w:rsidRPr="009E1FE0">
              <w:rPr>
                <w:rFonts w:ascii="Arial" w:hAnsi="Arial" w:cs="Arial"/>
                <w:color w:val="4472C4" w:themeColor="accent1"/>
                <w:sz w:val="20"/>
                <w:szCs w:val="20"/>
              </w:rPr>
              <w:t>£66277.5</w:t>
            </w:r>
          </w:p>
        </w:tc>
      </w:tr>
      <w:tr w:rsidR="009E1FE0" w:rsidRPr="009E1FE0" w14:paraId="17AE5A09"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auto" w:fill="auto"/>
            <w:noWrap/>
            <w:vAlign w:val="bottom"/>
            <w:hideMark/>
          </w:tcPr>
          <w:p w14:paraId="5FB84A3E" w14:textId="77777777" w:rsidR="0024794B" w:rsidRPr="009E1FE0" w:rsidRDefault="0024794B" w:rsidP="0024794B">
            <w:pPr>
              <w:rPr>
                <w:rFonts w:ascii="Arial" w:hAnsi="Arial" w:cs="Arial"/>
                <w:color w:val="4472C4" w:themeColor="accent1"/>
                <w:sz w:val="20"/>
                <w:szCs w:val="20"/>
              </w:rPr>
            </w:pPr>
            <w:r w:rsidRPr="009E1FE0">
              <w:rPr>
                <w:rFonts w:ascii="Arial" w:hAnsi="Arial" w:cs="Arial"/>
                <w:color w:val="4472C4" w:themeColor="accent1"/>
                <w:sz w:val="20"/>
                <w:szCs w:val="20"/>
              </w:rPr>
              <w:t>Castlefield Recruitment Ltd</w:t>
            </w:r>
          </w:p>
        </w:tc>
        <w:tc>
          <w:tcPr>
            <w:tcW w:w="2608" w:type="dxa"/>
            <w:tcBorders>
              <w:top w:val="single" w:sz="4" w:space="0" w:color="8EA9DB"/>
              <w:left w:val="nil"/>
              <w:bottom w:val="single" w:sz="4" w:space="0" w:color="8EA9DB"/>
              <w:right w:val="nil"/>
            </w:tcBorders>
            <w:shd w:val="clear" w:color="auto" w:fill="auto"/>
            <w:noWrap/>
            <w:vAlign w:val="bottom"/>
            <w:hideMark/>
          </w:tcPr>
          <w:p w14:paraId="3C0523BC" w14:textId="7D7E936F" w:rsidR="0024794B" w:rsidRPr="009E1FE0" w:rsidRDefault="00735DDF" w:rsidP="0024794B">
            <w:pPr>
              <w:rPr>
                <w:color w:val="4472C4" w:themeColor="accent1"/>
              </w:rPr>
            </w:pPr>
            <w:r w:rsidRPr="009E1FE0">
              <w:rPr>
                <w:rFonts w:ascii="Calibri" w:hAnsi="Calibri" w:cs="Calibri"/>
                <w:color w:val="4472C4" w:themeColor="accent1"/>
                <w:sz w:val="22"/>
                <w:szCs w:val="22"/>
              </w:rPr>
              <w:t>Clinical Governance</w:t>
            </w:r>
          </w:p>
        </w:tc>
        <w:tc>
          <w:tcPr>
            <w:tcW w:w="274" w:type="dxa"/>
            <w:tcBorders>
              <w:top w:val="single" w:sz="4" w:space="0" w:color="8EA9DB"/>
              <w:left w:val="nil"/>
              <w:bottom w:val="single" w:sz="4" w:space="0" w:color="8EA9DB"/>
              <w:right w:val="single" w:sz="4" w:space="0" w:color="8EA9DB"/>
            </w:tcBorders>
            <w:shd w:val="clear" w:color="auto" w:fill="auto"/>
            <w:noWrap/>
            <w:vAlign w:val="bottom"/>
            <w:hideMark/>
          </w:tcPr>
          <w:p w14:paraId="2C38BCC3" w14:textId="4504390E" w:rsidR="0024794B" w:rsidRPr="009E1FE0" w:rsidRDefault="0024794B" w:rsidP="0024794B">
            <w:pPr>
              <w:jc w:val="right"/>
              <w:rPr>
                <w:rFonts w:ascii="Arial" w:hAnsi="Arial" w:cs="Arial"/>
                <w:color w:val="4472C4" w:themeColor="accent1"/>
                <w:sz w:val="20"/>
                <w:szCs w:val="20"/>
              </w:rPr>
            </w:pPr>
            <w:r w:rsidRPr="009E1FE0">
              <w:rPr>
                <w:rFonts w:ascii="Arial" w:hAnsi="Arial" w:cs="Arial"/>
                <w:color w:val="4472C4" w:themeColor="accent1"/>
                <w:sz w:val="20"/>
                <w:szCs w:val="20"/>
              </w:rPr>
              <w:t>£10914.92</w:t>
            </w:r>
          </w:p>
        </w:tc>
      </w:tr>
      <w:tr w:rsidR="0024794B" w:rsidRPr="0024794B" w14:paraId="7F937405"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D9E1F2" w:fill="D9E1F2"/>
            <w:noWrap/>
            <w:vAlign w:val="bottom"/>
            <w:hideMark/>
          </w:tcPr>
          <w:p w14:paraId="16C0D2E7" w14:textId="77777777" w:rsidR="0024794B" w:rsidRPr="009E1FE0" w:rsidRDefault="0024794B" w:rsidP="0024794B">
            <w:pPr>
              <w:jc w:val="right"/>
              <w:rPr>
                <w:rFonts w:ascii="Arial" w:hAnsi="Arial" w:cs="Arial"/>
                <w:color w:val="4472C4" w:themeColor="accent1"/>
                <w:sz w:val="20"/>
                <w:szCs w:val="20"/>
              </w:rPr>
            </w:pPr>
          </w:p>
        </w:tc>
        <w:tc>
          <w:tcPr>
            <w:tcW w:w="2608" w:type="dxa"/>
            <w:tcBorders>
              <w:top w:val="single" w:sz="4" w:space="0" w:color="8EA9DB"/>
              <w:left w:val="nil"/>
              <w:bottom w:val="single" w:sz="4" w:space="0" w:color="8EA9DB"/>
              <w:right w:val="nil"/>
            </w:tcBorders>
            <w:shd w:val="clear" w:color="D9E1F2" w:fill="D9E1F2"/>
            <w:noWrap/>
            <w:vAlign w:val="bottom"/>
            <w:hideMark/>
          </w:tcPr>
          <w:p w14:paraId="7E67B444" w14:textId="353006E5" w:rsidR="0024794B" w:rsidRPr="009E1FE0" w:rsidRDefault="00735DDF" w:rsidP="0024794B">
            <w:pPr>
              <w:rPr>
                <w:rFonts w:ascii="Arial" w:hAnsi="Arial" w:cs="Arial"/>
                <w:color w:val="4472C4" w:themeColor="accent1"/>
                <w:sz w:val="20"/>
                <w:szCs w:val="20"/>
              </w:rPr>
            </w:pPr>
            <w:r w:rsidRPr="009E1FE0">
              <w:rPr>
                <w:rFonts w:ascii="Arial" w:hAnsi="Arial" w:cs="Arial"/>
                <w:color w:val="4472C4" w:themeColor="accent1"/>
                <w:sz w:val="20"/>
                <w:szCs w:val="20"/>
              </w:rPr>
              <w:t>Estates</w:t>
            </w:r>
          </w:p>
        </w:tc>
        <w:tc>
          <w:tcPr>
            <w:tcW w:w="274" w:type="dxa"/>
            <w:tcBorders>
              <w:top w:val="single" w:sz="4" w:space="0" w:color="8EA9DB"/>
              <w:left w:val="nil"/>
              <w:bottom w:val="single" w:sz="4" w:space="0" w:color="8EA9DB"/>
              <w:right w:val="single" w:sz="4" w:space="0" w:color="8EA9DB"/>
            </w:tcBorders>
            <w:shd w:val="clear" w:color="D9E1F2" w:fill="D9E1F2"/>
            <w:noWrap/>
            <w:vAlign w:val="bottom"/>
            <w:hideMark/>
          </w:tcPr>
          <w:p w14:paraId="6B7B986D" w14:textId="4E0DAAB2" w:rsidR="0024794B" w:rsidRPr="009E1FE0" w:rsidRDefault="0024794B" w:rsidP="0024794B">
            <w:pPr>
              <w:jc w:val="right"/>
              <w:rPr>
                <w:rFonts w:ascii="Arial" w:hAnsi="Arial" w:cs="Arial"/>
                <w:color w:val="4472C4" w:themeColor="accent1"/>
                <w:sz w:val="20"/>
                <w:szCs w:val="20"/>
              </w:rPr>
            </w:pPr>
            <w:r w:rsidRPr="009E1FE0">
              <w:rPr>
                <w:rFonts w:ascii="Arial" w:hAnsi="Arial" w:cs="Arial"/>
                <w:color w:val="4472C4" w:themeColor="accent1"/>
                <w:sz w:val="20"/>
                <w:szCs w:val="20"/>
              </w:rPr>
              <w:t>£27981.78</w:t>
            </w:r>
          </w:p>
        </w:tc>
      </w:tr>
      <w:tr w:rsidR="0024794B" w:rsidRPr="0024794B" w14:paraId="0769E139"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auto" w:fill="auto"/>
            <w:noWrap/>
            <w:vAlign w:val="bottom"/>
            <w:hideMark/>
          </w:tcPr>
          <w:p w14:paraId="56D6EFB5" w14:textId="77777777" w:rsidR="0024794B" w:rsidRPr="009E1FE0" w:rsidRDefault="0024794B" w:rsidP="0024794B">
            <w:pPr>
              <w:rPr>
                <w:rFonts w:ascii="Arial" w:hAnsi="Arial" w:cs="Arial"/>
                <w:color w:val="4472C4" w:themeColor="accent1"/>
                <w:sz w:val="20"/>
                <w:szCs w:val="20"/>
              </w:rPr>
            </w:pPr>
            <w:r w:rsidRPr="009E1FE0">
              <w:rPr>
                <w:rFonts w:ascii="Arial" w:hAnsi="Arial" w:cs="Arial"/>
                <w:color w:val="4472C4" w:themeColor="accent1"/>
                <w:sz w:val="20"/>
                <w:szCs w:val="20"/>
              </w:rPr>
              <w:t>Sellick Partnership Group Ltd</w:t>
            </w:r>
          </w:p>
        </w:tc>
        <w:tc>
          <w:tcPr>
            <w:tcW w:w="2608" w:type="dxa"/>
            <w:tcBorders>
              <w:top w:val="single" w:sz="4" w:space="0" w:color="8EA9DB"/>
              <w:left w:val="nil"/>
              <w:bottom w:val="single" w:sz="4" w:space="0" w:color="8EA9DB"/>
              <w:right w:val="nil"/>
            </w:tcBorders>
            <w:shd w:val="clear" w:color="auto" w:fill="auto"/>
            <w:noWrap/>
            <w:vAlign w:val="bottom"/>
            <w:hideMark/>
          </w:tcPr>
          <w:p w14:paraId="0EB6D164" w14:textId="3567681F" w:rsidR="0024794B" w:rsidRPr="009E1FE0" w:rsidRDefault="00735DDF" w:rsidP="0024794B">
            <w:pPr>
              <w:rPr>
                <w:rFonts w:ascii="Arial" w:hAnsi="Arial" w:cs="Arial"/>
                <w:color w:val="4472C4" w:themeColor="accent1"/>
                <w:sz w:val="20"/>
                <w:szCs w:val="20"/>
              </w:rPr>
            </w:pPr>
            <w:r w:rsidRPr="009E1FE0">
              <w:rPr>
                <w:rFonts w:ascii="Arial" w:hAnsi="Arial" w:cs="Arial"/>
                <w:color w:val="4472C4" w:themeColor="accent1"/>
                <w:sz w:val="20"/>
                <w:szCs w:val="20"/>
              </w:rPr>
              <w:t>Finance</w:t>
            </w:r>
          </w:p>
        </w:tc>
        <w:tc>
          <w:tcPr>
            <w:tcW w:w="274" w:type="dxa"/>
            <w:tcBorders>
              <w:top w:val="single" w:sz="4" w:space="0" w:color="8EA9DB"/>
              <w:left w:val="nil"/>
              <w:bottom w:val="single" w:sz="4" w:space="0" w:color="8EA9DB"/>
              <w:right w:val="single" w:sz="4" w:space="0" w:color="8EA9DB"/>
            </w:tcBorders>
            <w:shd w:val="clear" w:color="auto" w:fill="auto"/>
            <w:noWrap/>
            <w:vAlign w:val="bottom"/>
            <w:hideMark/>
          </w:tcPr>
          <w:p w14:paraId="168BAC9E" w14:textId="7D5A5BFB" w:rsidR="0024794B" w:rsidRPr="009E1FE0" w:rsidRDefault="0024794B" w:rsidP="0024794B">
            <w:pPr>
              <w:jc w:val="right"/>
              <w:rPr>
                <w:rFonts w:ascii="Arial" w:hAnsi="Arial" w:cs="Arial"/>
                <w:color w:val="4472C4" w:themeColor="accent1"/>
                <w:sz w:val="20"/>
                <w:szCs w:val="20"/>
              </w:rPr>
            </w:pPr>
            <w:r w:rsidRPr="009E1FE0">
              <w:rPr>
                <w:rFonts w:ascii="Arial" w:hAnsi="Arial" w:cs="Arial"/>
                <w:color w:val="4472C4" w:themeColor="accent1"/>
                <w:sz w:val="20"/>
                <w:szCs w:val="20"/>
              </w:rPr>
              <w:t>£23349.5</w:t>
            </w:r>
          </w:p>
        </w:tc>
      </w:tr>
      <w:tr w:rsidR="0024794B" w:rsidRPr="0024794B" w14:paraId="52108D20"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D9E1F2" w:fill="D9E1F2"/>
            <w:noWrap/>
            <w:vAlign w:val="bottom"/>
            <w:hideMark/>
          </w:tcPr>
          <w:p w14:paraId="03F2078D" w14:textId="77777777" w:rsidR="0024794B" w:rsidRPr="009E1FE0" w:rsidRDefault="0024794B" w:rsidP="0024794B">
            <w:pPr>
              <w:rPr>
                <w:rFonts w:ascii="Arial" w:hAnsi="Arial" w:cs="Arial"/>
                <w:color w:val="4472C4" w:themeColor="accent1"/>
                <w:sz w:val="20"/>
                <w:szCs w:val="20"/>
              </w:rPr>
            </w:pPr>
            <w:r w:rsidRPr="009E1FE0">
              <w:rPr>
                <w:rFonts w:ascii="Arial" w:hAnsi="Arial" w:cs="Arial"/>
                <w:color w:val="4472C4" w:themeColor="accent1"/>
                <w:sz w:val="20"/>
                <w:szCs w:val="20"/>
              </w:rPr>
              <w:t>Your World Recruitment</w:t>
            </w:r>
          </w:p>
        </w:tc>
        <w:tc>
          <w:tcPr>
            <w:tcW w:w="2608" w:type="dxa"/>
            <w:tcBorders>
              <w:top w:val="single" w:sz="4" w:space="0" w:color="8EA9DB"/>
              <w:left w:val="nil"/>
              <w:bottom w:val="single" w:sz="4" w:space="0" w:color="8EA9DB"/>
              <w:right w:val="nil"/>
            </w:tcBorders>
            <w:shd w:val="clear" w:color="D9E1F2" w:fill="D9E1F2"/>
            <w:noWrap/>
            <w:vAlign w:val="bottom"/>
            <w:hideMark/>
          </w:tcPr>
          <w:p w14:paraId="77185667" w14:textId="46F1ECB4" w:rsidR="0024794B" w:rsidRPr="009E1FE0" w:rsidRDefault="00735DDF" w:rsidP="0024794B">
            <w:pPr>
              <w:rPr>
                <w:rFonts w:ascii="Arial" w:hAnsi="Arial" w:cs="Arial"/>
                <w:color w:val="4472C4" w:themeColor="accent1"/>
                <w:sz w:val="20"/>
                <w:szCs w:val="20"/>
              </w:rPr>
            </w:pPr>
            <w:r w:rsidRPr="009E1FE0">
              <w:rPr>
                <w:rFonts w:ascii="Arial" w:hAnsi="Arial" w:cs="Arial"/>
                <w:color w:val="4472C4" w:themeColor="accent1"/>
                <w:sz w:val="20"/>
                <w:szCs w:val="20"/>
              </w:rPr>
              <w:t>Therapies</w:t>
            </w:r>
          </w:p>
        </w:tc>
        <w:tc>
          <w:tcPr>
            <w:tcW w:w="274" w:type="dxa"/>
            <w:tcBorders>
              <w:top w:val="single" w:sz="4" w:space="0" w:color="8EA9DB"/>
              <w:left w:val="nil"/>
              <w:bottom w:val="single" w:sz="4" w:space="0" w:color="8EA9DB"/>
              <w:right w:val="single" w:sz="4" w:space="0" w:color="8EA9DB"/>
            </w:tcBorders>
            <w:shd w:val="clear" w:color="D9E1F2" w:fill="D9E1F2"/>
            <w:noWrap/>
            <w:vAlign w:val="bottom"/>
            <w:hideMark/>
          </w:tcPr>
          <w:p w14:paraId="7BB7B7BB" w14:textId="0E87ACEA" w:rsidR="0024794B" w:rsidRPr="009E1FE0" w:rsidRDefault="0024794B" w:rsidP="0024794B">
            <w:pPr>
              <w:jc w:val="right"/>
              <w:rPr>
                <w:rFonts w:ascii="Arial" w:hAnsi="Arial" w:cs="Arial"/>
                <w:color w:val="4472C4" w:themeColor="accent1"/>
                <w:sz w:val="20"/>
                <w:szCs w:val="20"/>
              </w:rPr>
            </w:pPr>
            <w:r w:rsidRPr="009E1FE0">
              <w:rPr>
                <w:rFonts w:ascii="Arial" w:hAnsi="Arial" w:cs="Arial"/>
                <w:color w:val="4472C4" w:themeColor="accent1"/>
                <w:sz w:val="20"/>
                <w:szCs w:val="20"/>
              </w:rPr>
              <w:t>£1195.5</w:t>
            </w:r>
          </w:p>
        </w:tc>
      </w:tr>
      <w:tr w:rsidR="0024794B" w:rsidRPr="0024794B" w14:paraId="6975BC83" w14:textId="77777777" w:rsidTr="00735DDF">
        <w:trPr>
          <w:trHeight w:val="264"/>
        </w:trPr>
        <w:tc>
          <w:tcPr>
            <w:tcW w:w="2632" w:type="dxa"/>
            <w:tcBorders>
              <w:top w:val="single" w:sz="4" w:space="0" w:color="8EA9DB"/>
              <w:left w:val="single" w:sz="4" w:space="0" w:color="8EA9DB"/>
              <w:bottom w:val="single" w:sz="4" w:space="0" w:color="8EA9DB"/>
              <w:right w:val="nil"/>
            </w:tcBorders>
            <w:shd w:val="clear" w:color="auto" w:fill="auto"/>
            <w:noWrap/>
            <w:vAlign w:val="bottom"/>
            <w:hideMark/>
          </w:tcPr>
          <w:p w14:paraId="6002D8C5" w14:textId="77777777" w:rsidR="0024794B" w:rsidRPr="009E1FE0" w:rsidRDefault="0024794B" w:rsidP="0024794B">
            <w:pPr>
              <w:jc w:val="right"/>
              <w:rPr>
                <w:rFonts w:ascii="Arial" w:hAnsi="Arial" w:cs="Arial"/>
                <w:color w:val="4472C4" w:themeColor="accent1"/>
                <w:sz w:val="20"/>
                <w:szCs w:val="20"/>
              </w:rPr>
            </w:pPr>
          </w:p>
        </w:tc>
        <w:tc>
          <w:tcPr>
            <w:tcW w:w="2608" w:type="dxa"/>
            <w:tcBorders>
              <w:top w:val="single" w:sz="4" w:space="0" w:color="8EA9DB"/>
              <w:left w:val="nil"/>
              <w:bottom w:val="single" w:sz="4" w:space="0" w:color="8EA9DB"/>
              <w:right w:val="nil"/>
            </w:tcBorders>
            <w:shd w:val="clear" w:color="auto" w:fill="auto"/>
            <w:noWrap/>
            <w:vAlign w:val="bottom"/>
            <w:hideMark/>
          </w:tcPr>
          <w:p w14:paraId="6842D6BB" w14:textId="50026304" w:rsidR="0024794B" w:rsidRPr="009E1FE0" w:rsidRDefault="00735DDF" w:rsidP="0024794B">
            <w:pPr>
              <w:rPr>
                <w:rFonts w:ascii="Arial" w:hAnsi="Arial" w:cs="Arial"/>
                <w:color w:val="4472C4" w:themeColor="accent1"/>
                <w:sz w:val="20"/>
                <w:szCs w:val="20"/>
              </w:rPr>
            </w:pPr>
            <w:r w:rsidRPr="009E1FE0">
              <w:rPr>
                <w:rFonts w:ascii="Arial" w:hAnsi="Arial" w:cs="Arial"/>
                <w:color w:val="4472C4" w:themeColor="accent1"/>
                <w:sz w:val="20"/>
                <w:szCs w:val="20"/>
              </w:rPr>
              <w:t>Rehab Network</w:t>
            </w:r>
          </w:p>
        </w:tc>
        <w:tc>
          <w:tcPr>
            <w:tcW w:w="274" w:type="dxa"/>
            <w:tcBorders>
              <w:top w:val="single" w:sz="4" w:space="0" w:color="8EA9DB"/>
              <w:left w:val="nil"/>
              <w:bottom w:val="single" w:sz="4" w:space="0" w:color="8EA9DB"/>
              <w:right w:val="single" w:sz="4" w:space="0" w:color="8EA9DB"/>
            </w:tcBorders>
            <w:shd w:val="clear" w:color="auto" w:fill="auto"/>
            <w:noWrap/>
            <w:vAlign w:val="bottom"/>
            <w:hideMark/>
          </w:tcPr>
          <w:p w14:paraId="6734A39D" w14:textId="060142E3" w:rsidR="0024794B" w:rsidRPr="009E1FE0" w:rsidRDefault="0024794B" w:rsidP="0024794B">
            <w:pPr>
              <w:jc w:val="right"/>
              <w:rPr>
                <w:rFonts w:ascii="Arial" w:hAnsi="Arial" w:cs="Arial"/>
                <w:color w:val="4472C4" w:themeColor="accent1"/>
                <w:sz w:val="20"/>
                <w:szCs w:val="20"/>
              </w:rPr>
            </w:pPr>
            <w:r w:rsidRPr="009E1FE0">
              <w:rPr>
                <w:rFonts w:ascii="Arial" w:hAnsi="Arial" w:cs="Arial"/>
                <w:color w:val="4472C4" w:themeColor="accent1"/>
                <w:sz w:val="20"/>
                <w:szCs w:val="20"/>
              </w:rPr>
              <w:t>£2391</w:t>
            </w:r>
          </w:p>
        </w:tc>
      </w:tr>
    </w:tbl>
    <w:p w14:paraId="61AD8116" w14:textId="77777777" w:rsidR="00E60753" w:rsidRDefault="00E60753" w:rsidP="00E60753">
      <w:pPr>
        <w:pStyle w:val="NormalWeb"/>
        <w:spacing w:before="0" w:beforeAutospacing="0" w:after="0" w:afterAutospacing="0"/>
        <w:rPr>
          <w:rFonts w:ascii="Helvetica" w:hAnsi="Helvetica" w:cs="Helvetica"/>
          <w:b/>
          <w:bCs/>
        </w:rPr>
      </w:pPr>
    </w:p>
    <w:p w14:paraId="586FE152" w14:textId="77777777" w:rsidR="00E60753" w:rsidRPr="009E1FE0" w:rsidRDefault="00E60753" w:rsidP="00E60753">
      <w:pPr>
        <w:pStyle w:val="NormalWeb"/>
        <w:numPr>
          <w:ilvl w:val="0"/>
          <w:numId w:val="1"/>
        </w:numPr>
        <w:spacing w:before="0" w:beforeAutospacing="0" w:after="0" w:afterAutospacing="0"/>
      </w:pPr>
      <w:r w:rsidRPr="009E1FE0">
        <w:rPr>
          <w:rFonts w:ascii="Helvetica" w:hAnsi="Helvetica" w:cs="Helvetica"/>
          <w:b/>
          <w:bCs/>
        </w:rPr>
        <w:t xml:space="preserve">Financial Year 2022/2023 - number of hours worked by temporary agency workers: </w:t>
      </w:r>
    </w:p>
    <w:p w14:paraId="5723F0F6"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 xml:space="preserve">Medical </w:t>
      </w:r>
    </w:p>
    <w:p w14:paraId="18DFF5F8"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 xml:space="preserve">Allied Health Professionals (AHPs) </w:t>
      </w:r>
    </w:p>
    <w:p w14:paraId="62EBF472" w14:textId="77777777" w:rsidR="00E60753" w:rsidRPr="009E1FE0"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 xml:space="preserve">Nursing </w:t>
      </w:r>
    </w:p>
    <w:p w14:paraId="110DB2F3" w14:textId="77777777" w:rsidR="00E60753" w:rsidRDefault="00E60753" w:rsidP="00E60753">
      <w:pPr>
        <w:pStyle w:val="NormalWeb"/>
        <w:numPr>
          <w:ilvl w:val="1"/>
          <w:numId w:val="1"/>
        </w:numPr>
        <w:spacing w:before="0" w:beforeAutospacing="0" w:after="0" w:afterAutospacing="0"/>
        <w:rPr>
          <w:rFonts w:ascii="Helvetica" w:hAnsi="Helvetica" w:cs="Helvetica"/>
          <w:b/>
          <w:bCs/>
        </w:rPr>
      </w:pPr>
      <w:r w:rsidRPr="009E1FE0">
        <w:rPr>
          <w:rFonts w:ascii="Helvetica" w:hAnsi="Helvetica" w:cs="Helvetica"/>
          <w:b/>
          <w:bCs/>
        </w:rPr>
        <w:t>Non-Medical, Non-Clinical (NMNC)</w:t>
      </w:r>
    </w:p>
    <w:p w14:paraId="107A8397" w14:textId="77777777" w:rsidR="00AC71CE" w:rsidRPr="009E1FE0" w:rsidRDefault="00AC71CE" w:rsidP="00AC71CE">
      <w:pPr>
        <w:pStyle w:val="NormalWeb"/>
        <w:spacing w:before="0" w:beforeAutospacing="0" w:after="0" w:afterAutospacing="0"/>
        <w:ind w:left="1800"/>
        <w:rPr>
          <w:rFonts w:ascii="Helvetica" w:hAnsi="Helvetica" w:cs="Helvetica"/>
          <w:b/>
          <w:bCs/>
        </w:rPr>
      </w:pPr>
    </w:p>
    <w:p w14:paraId="24F577DF" w14:textId="77777777" w:rsidR="009E1FE0" w:rsidRDefault="009E1FE0" w:rsidP="009E1FE0">
      <w:pPr>
        <w:rPr>
          <w:rFonts w:ascii="Calibri" w:hAnsi="Calibri"/>
          <w:color w:val="0070C0"/>
          <w:sz w:val="22"/>
          <w:szCs w:val="22"/>
        </w:rPr>
      </w:pPr>
      <w:r w:rsidRPr="00C27C67">
        <w:rPr>
          <w:rFonts w:ascii="Calibri" w:hAnsi="Calibri"/>
          <w:color w:val="0070C0"/>
          <w:sz w:val="22"/>
          <w:szCs w:val="22"/>
        </w:rPr>
        <w:t xml:space="preserve">I confirm that The Walton Centre NHS Foundation Trust holds </w:t>
      </w:r>
      <w:r>
        <w:rPr>
          <w:rFonts w:ascii="Calibri" w:hAnsi="Calibri"/>
          <w:color w:val="0070C0"/>
          <w:sz w:val="22"/>
          <w:szCs w:val="22"/>
        </w:rPr>
        <w:t>the</w:t>
      </w:r>
      <w:r w:rsidRPr="00C27C67">
        <w:rPr>
          <w:rFonts w:ascii="Calibri" w:hAnsi="Calibri"/>
          <w:color w:val="0070C0"/>
          <w:sz w:val="22"/>
          <w:szCs w:val="22"/>
        </w:rPr>
        <w:t xml:space="preserve"> information you have requested</w:t>
      </w:r>
      <w:r>
        <w:rPr>
          <w:rFonts w:ascii="Calibri" w:hAnsi="Calibri"/>
          <w:color w:val="0070C0"/>
          <w:sz w:val="22"/>
          <w:szCs w:val="22"/>
        </w:rPr>
        <w:t xml:space="preserve">. </w:t>
      </w:r>
      <w:r w:rsidRPr="00C27C67">
        <w:rPr>
          <w:rFonts w:ascii="Calibri" w:hAnsi="Calibri"/>
          <w:color w:val="0070C0"/>
          <w:sz w:val="22"/>
          <w:szCs w:val="22"/>
        </w:rPr>
        <w:t>However, I am unable to provide you with that information as I consider that the fo</w:t>
      </w:r>
      <w:r>
        <w:rPr>
          <w:rFonts w:ascii="Calibri" w:hAnsi="Calibri"/>
          <w:color w:val="0070C0"/>
          <w:sz w:val="22"/>
          <w:szCs w:val="22"/>
        </w:rPr>
        <w:t>llowing exemptions apply to it:</w:t>
      </w:r>
    </w:p>
    <w:p w14:paraId="78046FD0" w14:textId="77777777" w:rsidR="009E1FE0" w:rsidRDefault="009E1FE0" w:rsidP="009E1FE0"/>
    <w:p w14:paraId="5D427B8B" w14:textId="77777777" w:rsidR="009E1FE0" w:rsidRDefault="009E1FE0" w:rsidP="009E1FE0">
      <w:pPr>
        <w:rPr>
          <w:rFonts w:ascii="Calibri" w:hAnsi="Calibri"/>
          <w:b/>
          <w:color w:val="0070C0"/>
          <w:sz w:val="22"/>
          <w:szCs w:val="22"/>
        </w:rPr>
      </w:pPr>
      <w:r w:rsidRPr="00257AFF">
        <w:rPr>
          <w:rFonts w:ascii="Calibri" w:hAnsi="Calibri"/>
          <w:b/>
          <w:color w:val="0070C0"/>
          <w:sz w:val="22"/>
          <w:szCs w:val="22"/>
        </w:rPr>
        <w:t xml:space="preserve">Section 12 - Requests where the cost of compliance exceeds the appropriate </w:t>
      </w:r>
      <w:proofErr w:type="gramStart"/>
      <w:r w:rsidRPr="00257AFF">
        <w:rPr>
          <w:rFonts w:ascii="Calibri" w:hAnsi="Calibri"/>
          <w:b/>
          <w:color w:val="0070C0"/>
          <w:sz w:val="22"/>
          <w:szCs w:val="22"/>
        </w:rPr>
        <w:t>limit</w:t>
      </w:r>
      <w:proofErr w:type="gramEnd"/>
    </w:p>
    <w:p w14:paraId="5A8A5C6F" w14:textId="77777777" w:rsidR="009E1FE0" w:rsidRDefault="009E1FE0" w:rsidP="009E1FE0">
      <w:pPr>
        <w:rPr>
          <w:rFonts w:ascii="Calibri" w:hAnsi="Calibri"/>
          <w:b/>
          <w:color w:val="0070C0"/>
          <w:sz w:val="22"/>
          <w:szCs w:val="22"/>
        </w:rPr>
      </w:pPr>
    </w:p>
    <w:p w14:paraId="0908FF78" w14:textId="5A717A8C" w:rsidR="009E1FE0" w:rsidRPr="00347AA0" w:rsidRDefault="009E1FE0" w:rsidP="009E1FE0">
      <w:pPr>
        <w:rPr>
          <w:rFonts w:ascii="Calibri" w:hAnsi="Calibri"/>
          <w:color w:val="0070C0"/>
          <w:sz w:val="22"/>
          <w:szCs w:val="22"/>
        </w:rPr>
      </w:pPr>
      <w:r w:rsidRPr="00347AA0">
        <w:rPr>
          <w:rFonts w:ascii="Calibri" w:hAnsi="Calibri"/>
          <w:color w:val="0070C0"/>
          <w:sz w:val="22"/>
          <w:szCs w:val="22"/>
        </w:rPr>
        <w:t xml:space="preserve">In response to your request, whilst we hold the information </w:t>
      </w:r>
      <w:r w:rsidRPr="00347AA0">
        <w:rPr>
          <w:rFonts w:ascii="Calibri" w:hAnsi="Calibri"/>
          <w:color w:val="0070C0"/>
          <w:sz w:val="22"/>
          <w:szCs w:val="22"/>
        </w:rPr>
        <w:t>requested,</w:t>
      </w:r>
      <w:r w:rsidRPr="00347AA0">
        <w:rPr>
          <w:rFonts w:ascii="Calibri" w:hAnsi="Calibri"/>
          <w:color w:val="0070C0"/>
          <w:sz w:val="22"/>
          <w:szCs w:val="22"/>
        </w:rPr>
        <w:t xml:space="preserve"> we believe an exemption under Section 12 of the Freedom of Information Act 2000 applies to it. Section 12 of the Act allows public authorities to refuse to answer requests for information if the cost of complying would exceed the </w:t>
      </w:r>
      <w:r w:rsidRPr="00347AA0">
        <w:rPr>
          <w:rFonts w:ascii="Calibri" w:hAnsi="Calibri"/>
          <w:color w:val="0070C0"/>
          <w:sz w:val="22"/>
          <w:szCs w:val="22"/>
        </w:rPr>
        <w:t>18-hour</w:t>
      </w:r>
      <w:r w:rsidRPr="00347AA0">
        <w:rPr>
          <w:rFonts w:ascii="Calibri" w:hAnsi="Calibri"/>
          <w:color w:val="0070C0"/>
          <w:sz w:val="22"/>
          <w:szCs w:val="22"/>
        </w:rPr>
        <w:t xml:space="preserve"> appropriate limit prescribed in the Fees Regulations.</w:t>
      </w:r>
    </w:p>
    <w:p w14:paraId="393D5CB6" w14:textId="77777777" w:rsidR="009E1FE0" w:rsidRPr="00347AA0" w:rsidRDefault="009E1FE0" w:rsidP="009E1FE0">
      <w:pPr>
        <w:rPr>
          <w:rFonts w:ascii="Calibri" w:hAnsi="Calibri"/>
          <w:color w:val="0070C0"/>
          <w:sz w:val="22"/>
          <w:szCs w:val="22"/>
        </w:rPr>
      </w:pPr>
    </w:p>
    <w:p w14:paraId="021A7BDA" w14:textId="26BBBCC4" w:rsidR="009E1FE0" w:rsidRPr="009E1FE0" w:rsidRDefault="009E1FE0" w:rsidP="009E1FE0">
      <w:pPr>
        <w:rPr>
          <w:rFonts w:ascii="Calibri" w:hAnsi="Calibri"/>
          <w:color w:val="0070C0"/>
          <w:sz w:val="22"/>
          <w:szCs w:val="22"/>
        </w:rPr>
      </w:pPr>
      <w:r w:rsidRPr="009E1FE0">
        <w:rPr>
          <w:rFonts w:ascii="Calibri" w:hAnsi="Calibri"/>
          <w:color w:val="0070C0"/>
          <w:sz w:val="22"/>
          <w:szCs w:val="22"/>
        </w:rPr>
        <w:t>To</w:t>
      </w:r>
      <w:r w:rsidRPr="009E1FE0">
        <w:rPr>
          <w:rFonts w:ascii="Calibri" w:hAnsi="Calibri"/>
          <w:color w:val="0070C0"/>
          <w:sz w:val="22"/>
          <w:szCs w:val="22"/>
        </w:rPr>
        <w:t xml:space="preserve"> respond to your request this would require an audit person reviewing </w:t>
      </w:r>
      <w:r>
        <w:rPr>
          <w:rFonts w:ascii="Calibri" w:hAnsi="Calibri"/>
          <w:color w:val="0070C0"/>
          <w:sz w:val="22"/>
          <w:szCs w:val="22"/>
        </w:rPr>
        <w:t>individual invoices submitted for each individual agency staff member.</w:t>
      </w:r>
      <w:r w:rsidRPr="009E1FE0">
        <w:rPr>
          <w:rFonts w:ascii="Calibri" w:hAnsi="Calibri"/>
          <w:color w:val="0070C0"/>
          <w:sz w:val="22"/>
          <w:szCs w:val="22"/>
        </w:rPr>
        <w:t xml:space="preserve"> The time it would take to compile and collate the activity data required by means of a manual trawl of records would be </w:t>
      </w:r>
      <w:r w:rsidRPr="009E1FE0">
        <w:rPr>
          <w:rFonts w:ascii="Calibri" w:hAnsi="Calibri"/>
          <w:color w:val="0070C0"/>
          <w:sz w:val="22"/>
          <w:szCs w:val="22"/>
        </w:rPr>
        <w:t>more than</w:t>
      </w:r>
      <w:r w:rsidRPr="009E1FE0">
        <w:rPr>
          <w:rFonts w:ascii="Calibri" w:hAnsi="Calibri"/>
          <w:color w:val="0070C0"/>
          <w:sz w:val="22"/>
          <w:szCs w:val="22"/>
        </w:rPr>
        <w:t xml:space="preserve"> this appropriate limit.</w:t>
      </w:r>
    </w:p>
    <w:p w14:paraId="4D0E037B" w14:textId="77777777" w:rsidR="009E1FE0" w:rsidRDefault="009E1FE0" w:rsidP="009E1FE0">
      <w:pPr>
        <w:rPr>
          <w:rFonts w:ascii="Calibri" w:hAnsi="Calibri"/>
          <w:color w:val="0070C0"/>
          <w:sz w:val="22"/>
          <w:szCs w:val="22"/>
        </w:rPr>
      </w:pPr>
    </w:p>
    <w:p w14:paraId="2DA862C0" w14:textId="77777777" w:rsidR="009E1FE0" w:rsidRDefault="009E1FE0" w:rsidP="009E1FE0">
      <w:pPr>
        <w:rPr>
          <w:rFonts w:ascii="Calibri" w:hAnsi="Calibri"/>
          <w:color w:val="0070C0"/>
          <w:sz w:val="22"/>
          <w:szCs w:val="22"/>
        </w:rPr>
      </w:pPr>
      <w:r w:rsidRPr="00C27C67">
        <w:rPr>
          <w:rFonts w:ascii="Calibri" w:hAnsi="Calibri"/>
          <w:color w:val="0070C0"/>
          <w:sz w:val="22"/>
          <w:szCs w:val="22"/>
        </w:rPr>
        <w:t>This response therefore acts as a refusal n</w:t>
      </w:r>
      <w:r>
        <w:rPr>
          <w:rFonts w:ascii="Calibri" w:hAnsi="Calibri"/>
          <w:color w:val="0070C0"/>
          <w:sz w:val="22"/>
          <w:szCs w:val="22"/>
        </w:rPr>
        <w:t>otice under section 17 of the FO</w:t>
      </w:r>
      <w:r w:rsidRPr="00C27C67">
        <w:rPr>
          <w:rFonts w:ascii="Calibri" w:hAnsi="Calibri"/>
          <w:color w:val="0070C0"/>
          <w:sz w:val="22"/>
          <w:szCs w:val="22"/>
        </w:rPr>
        <w:t>IA.</w:t>
      </w:r>
    </w:p>
    <w:p w14:paraId="5596DF94" w14:textId="77777777" w:rsidR="00E60753" w:rsidRPr="009E1FE0" w:rsidRDefault="00E60753" w:rsidP="00E60753">
      <w:pPr>
        <w:pStyle w:val="NormalWeb"/>
        <w:spacing w:before="0" w:beforeAutospacing="0" w:after="0" w:afterAutospacing="0"/>
        <w:ind w:left="720"/>
        <w:rPr>
          <w:rFonts w:ascii="Helvetica" w:hAnsi="Helvetica" w:cs="Helvetica"/>
          <w:b/>
          <w:bCs/>
          <w:color w:val="4472C4" w:themeColor="accent1"/>
        </w:rPr>
      </w:pPr>
    </w:p>
    <w:p w14:paraId="222E105E" w14:textId="77777777" w:rsidR="009E1FE0" w:rsidRDefault="009E1FE0" w:rsidP="00E60753">
      <w:pPr>
        <w:pStyle w:val="NormalWeb"/>
        <w:spacing w:before="0" w:beforeAutospacing="0" w:after="0" w:afterAutospacing="0"/>
        <w:ind w:left="720"/>
        <w:rPr>
          <w:rFonts w:ascii="Helvetica" w:hAnsi="Helvetica" w:cs="Helvetica"/>
          <w:b/>
          <w:bCs/>
        </w:rPr>
      </w:pPr>
    </w:p>
    <w:p w14:paraId="180C1FAA" w14:textId="77777777" w:rsidR="00E60753" w:rsidRDefault="00E60753" w:rsidP="00E60753">
      <w:pPr>
        <w:pStyle w:val="NormalWeb"/>
        <w:numPr>
          <w:ilvl w:val="0"/>
          <w:numId w:val="1"/>
        </w:numPr>
        <w:spacing w:before="0" w:beforeAutospacing="0" w:after="0" w:afterAutospacing="0"/>
      </w:pPr>
      <w:r>
        <w:rPr>
          <w:rFonts w:ascii="Helvetica" w:hAnsi="Helvetica" w:cs="Helvetica"/>
          <w:b/>
          <w:bCs/>
        </w:rPr>
        <w:t xml:space="preserve">Does the Trust or Health Board currently operate a Non-Medical Non-Clinical Staff Bank? </w:t>
      </w:r>
    </w:p>
    <w:p w14:paraId="242769A4" w14:textId="77777777" w:rsidR="00E60753" w:rsidRPr="00432208" w:rsidRDefault="00E60753" w:rsidP="00E60753">
      <w:pPr>
        <w:pStyle w:val="NormalWeb"/>
        <w:spacing w:before="0" w:beforeAutospacing="0" w:after="0" w:afterAutospacing="0"/>
        <w:ind w:left="2160"/>
        <w:rPr>
          <w:rFonts w:ascii="Helvetica" w:hAnsi="Helvetica" w:cs="Helvetica"/>
          <w:b/>
          <w:bCs/>
          <w:sz w:val="20"/>
          <w:szCs w:val="20"/>
        </w:rPr>
      </w:pPr>
      <w:r w:rsidRPr="00432208">
        <w:rPr>
          <w:rFonts w:ascii="Helvetica" w:hAnsi="Helvetica" w:cs="Helvetica"/>
          <w:b/>
          <w:bCs/>
          <w:sz w:val="20"/>
          <w:szCs w:val="20"/>
        </w:rPr>
        <w:t xml:space="preserve">If yes, what is the name of the provider? </w:t>
      </w:r>
    </w:p>
    <w:p w14:paraId="170C8ADA" w14:textId="77777777" w:rsidR="00E60753" w:rsidRPr="00432208" w:rsidRDefault="00E60753" w:rsidP="00E60753">
      <w:pPr>
        <w:pStyle w:val="NormalWeb"/>
        <w:spacing w:before="0" w:beforeAutospacing="0" w:after="0" w:afterAutospacing="0"/>
        <w:ind w:left="2160"/>
        <w:rPr>
          <w:rFonts w:ascii="Helvetica" w:hAnsi="Helvetica" w:cs="Helvetica"/>
          <w:b/>
          <w:bCs/>
          <w:sz w:val="20"/>
          <w:szCs w:val="20"/>
        </w:rPr>
      </w:pPr>
      <w:r w:rsidRPr="00432208">
        <w:rPr>
          <w:rFonts w:ascii="Helvetica" w:hAnsi="Helvetica" w:cs="Helvetica"/>
          <w:b/>
          <w:bCs/>
          <w:sz w:val="20"/>
          <w:szCs w:val="20"/>
        </w:rPr>
        <w:t>Expiry Date of the contract with the provider</w:t>
      </w:r>
    </w:p>
    <w:p w14:paraId="5737919B" w14:textId="018DD1E5" w:rsidR="00E60753" w:rsidRPr="009E1FE0" w:rsidRDefault="00E60753" w:rsidP="009E1FE0">
      <w:pPr>
        <w:pStyle w:val="NormalWeb"/>
        <w:spacing w:before="0" w:beforeAutospacing="0" w:after="0" w:afterAutospacing="0"/>
        <w:ind w:left="360"/>
        <w:rPr>
          <w:color w:val="4472C4" w:themeColor="accent1"/>
        </w:rPr>
      </w:pPr>
      <w:r w:rsidRPr="009E1FE0">
        <w:rPr>
          <w:color w:val="4472C4" w:themeColor="accent1"/>
        </w:rPr>
        <w:t xml:space="preserve">NHSP – </w:t>
      </w:r>
      <w:r w:rsidR="003616EE" w:rsidRPr="009E1FE0">
        <w:rPr>
          <w:color w:val="4472C4" w:themeColor="accent1"/>
        </w:rPr>
        <w:t>31/07/202</w:t>
      </w:r>
      <w:r w:rsidR="009E1FE0" w:rsidRPr="009E1FE0">
        <w:rPr>
          <w:color w:val="4472C4" w:themeColor="accent1"/>
        </w:rPr>
        <w:t>4</w:t>
      </w:r>
      <w:r w:rsidRPr="009E1FE0">
        <w:rPr>
          <w:color w:val="4472C4" w:themeColor="accent1"/>
        </w:rPr>
        <w:t xml:space="preserve"> </w:t>
      </w:r>
    </w:p>
    <w:p w14:paraId="09D9BAEF" w14:textId="77777777" w:rsidR="00E60753" w:rsidRDefault="00E60753" w:rsidP="00E60753">
      <w:pPr>
        <w:pStyle w:val="NormalWeb"/>
        <w:spacing w:before="0" w:beforeAutospacing="0" w:after="0" w:afterAutospacing="0"/>
        <w:ind w:left="360"/>
        <w:rPr>
          <w:color w:val="FF0000"/>
        </w:rPr>
      </w:pPr>
    </w:p>
    <w:p w14:paraId="00E50B37" w14:textId="77777777" w:rsidR="00E60753" w:rsidRPr="009E1FE0" w:rsidRDefault="00E60753" w:rsidP="00E60753">
      <w:pPr>
        <w:pStyle w:val="NormalWeb"/>
        <w:numPr>
          <w:ilvl w:val="0"/>
          <w:numId w:val="1"/>
        </w:numPr>
        <w:spacing w:before="0" w:beforeAutospacing="0" w:after="0" w:afterAutospacing="0"/>
      </w:pPr>
      <w:r w:rsidRPr="009E1FE0">
        <w:rPr>
          <w:rFonts w:ascii="Helvetica" w:hAnsi="Helvetica" w:cs="Helvetica"/>
          <w:b/>
          <w:bCs/>
        </w:rPr>
        <w:t xml:space="preserve">Does the Trust or Health Board utilise an Insourcing Contracting provider in place? </w:t>
      </w:r>
    </w:p>
    <w:p w14:paraId="6DEBECC8" w14:textId="77777777" w:rsidR="00E60753" w:rsidRPr="009E1FE0" w:rsidRDefault="00E60753" w:rsidP="00E60753">
      <w:pPr>
        <w:pStyle w:val="NormalWeb"/>
        <w:numPr>
          <w:ilvl w:val="2"/>
          <w:numId w:val="4"/>
        </w:numPr>
        <w:spacing w:before="0" w:beforeAutospacing="0" w:after="0" w:afterAutospacing="0"/>
        <w:rPr>
          <w:rFonts w:ascii="Helvetica" w:hAnsi="Helvetica" w:cs="Helvetica"/>
          <w:b/>
          <w:bCs/>
          <w:sz w:val="20"/>
          <w:szCs w:val="20"/>
        </w:rPr>
      </w:pPr>
      <w:r w:rsidRPr="009E1FE0">
        <w:rPr>
          <w:rFonts w:ascii="Helvetica" w:hAnsi="Helvetica" w:cs="Helvetica"/>
          <w:b/>
          <w:bCs/>
          <w:sz w:val="20"/>
          <w:szCs w:val="20"/>
        </w:rPr>
        <w:t xml:space="preserve">If yes, what is the name of the provider? </w:t>
      </w:r>
    </w:p>
    <w:p w14:paraId="0EE7B084" w14:textId="77777777" w:rsidR="00E60753" w:rsidRPr="009E1FE0" w:rsidRDefault="00E60753" w:rsidP="00E60753">
      <w:pPr>
        <w:pStyle w:val="NormalWeb"/>
        <w:numPr>
          <w:ilvl w:val="2"/>
          <w:numId w:val="4"/>
        </w:numPr>
        <w:spacing w:before="0" w:beforeAutospacing="0" w:after="0" w:afterAutospacing="0"/>
        <w:rPr>
          <w:rFonts w:ascii="Helvetica" w:hAnsi="Helvetica" w:cs="Helvetica"/>
          <w:b/>
          <w:bCs/>
          <w:sz w:val="20"/>
          <w:szCs w:val="20"/>
        </w:rPr>
      </w:pPr>
      <w:r w:rsidRPr="009E1FE0">
        <w:rPr>
          <w:rFonts w:ascii="Helvetica" w:hAnsi="Helvetica" w:cs="Helvetica"/>
          <w:b/>
          <w:bCs/>
          <w:sz w:val="20"/>
          <w:szCs w:val="20"/>
        </w:rPr>
        <w:t>Expiry Date of the contract with the provider</w:t>
      </w:r>
    </w:p>
    <w:p w14:paraId="696B80B5" w14:textId="5BAF268E" w:rsidR="00E60753" w:rsidRPr="009E1FE0" w:rsidRDefault="009E1FE0" w:rsidP="009E1FE0">
      <w:pPr>
        <w:ind w:firstLine="360"/>
        <w:rPr>
          <w:rStyle w:val="Strong"/>
          <w:rFonts w:asciiTheme="minorHAnsi" w:hAnsiTheme="minorHAnsi" w:cstheme="minorHAnsi"/>
          <w:b w:val="0"/>
          <w:bCs w:val="0"/>
          <w:color w:val="4472C4" w:themeColor="accent1"/>
        </w:rPr>
      </w:pPr>
      <w:r w:rsidRPr="009E1FE0">
        <w:rPr>
          <w:rStyle w:val="Strong"/>
          <w:rFonts w:asciiTheme="minorHAnsi" w:hAnsiTheme="minorHAnsi" w:cstheme="minorHAnsi"/>
          <w:b w:val="0"/>
          <w:bCs w:val="0"/>
          <w:color w:val="4472C4" w:themeColor="accent1"/>
        </w:rPr>
        <w:t>No.</w:t>
      </w:r>
    </w:p>
    <w:p w14:paraId="5C3587E7" w14:textId="77777777" w:rsidR="00E60753" w:rsidRDefault="00E60753" w:rsidP="00E60753">
      <w:pPr>
        <w:rPr>
          <w:rStyle w:val="Strong"/>
        </w:rPr>
      </w:pPr>
    </w:p>
    <w:p w14:paraId="0CAB9531" w14:textId="77777777" w:rsidR="00E60753" w:rsidRPr="009E1FE0" w:rsidRDefault="00E60753" w:rsidP="00E60753">
      <w:pPr>
        <w:pStyle w:val="NormalWeb"/>
        <w:numPr>
          <w:ilvl w:val="0"/>
          <w:numId w:val="1"/>
        </w:numPr>
        <w:spacing w:before="0" w:beforeAutospacing="0" w:after="0" w:afterAutospacing="0"/>
      </w:pPr>
      <w:r w:rsidRPr="009E1FE0">
        <w:rPr>
          <w:rFonts w:ascii="Helvetica" w:hAnsi="Helvetica" w:cs="Helvetica"/>
          <w:b/>
          <w:bCs/>
        </w:rPr>
        <w:t xml:space="preserve">Contact responsible for temporary agency staffing at the Trust or Health Board: </w:t>
      </w:r>
    </w:p>
    <w:p w14:paraId="2D873E56" w14:textId="77777777" w:rsidR="00E60753" w:rsidRPr="00432208" w:rsidRDefault="00E60753" w:rsidP="00E60753">
      <w:pPr>
        <w:pStyle w:val="NormalWeb"/>
        <w:numPr>
          <w:ilvl w:val="1"/>
          <w:numId w:val="1"/>
        </w:numPr>
        <w:spacing w:before="0" w:beforeAutospacing="0" w:after="0" w:afterAutospacing="0"/>
        <w:rPr>
          <w:rFonts w:ascii="Helvetica" w:hAnsi="Helvetica" w:cs="Helvetica"/>
          <w:b/>
          <w:bCs/>
          <w:sz w:val="20"/>
          <w:szCs w:val="20"/>
        </w:rPr>
      </w:pPr>
      <w:r w:rsidRPr="00432208">
        <w:rPr>
          <w:rFonts w:ascii="Helvetica" w:hAnsi="Helvetica" w:cs="Helvetica"/>
          <w:b/>
          <w:bCs/>
          <w:sz w:val="20"/>
          <w:szCs w:val="20"/>
        </w:rPr>
        <w:t xml:space="preserve">Workforce Lead </w:t>
      </w:r>
    </w:p>
    <w:p w14:paraId="386F324C" w14:textId="5C3D3C22" w:rsidR="00E60753" w:rsidRPr="009E1FE0" w:rsidRDefault="00E60753" w:rsidP="00E60753">
      <w:pPr>
        <w:pStyle w:val="NormalWeb"/>
        <w:spacing w:before="0" w:beforeAutospacing="0" w:after="0" w:afterAutospacing="0"/>
        <w:ind w:left="1800"/>
        <w:rPr>
          <w:rFonts w:ascii="Helvetica" w:hAnsi="Helvetica" w:cs="Helvetica"/>
          <w:b/>
          <w:bCs/>
          <w:color w:val="4472C4" w:themeColor="accent1"/>
          <w:sz w:val="20"/>
          <w:szCs w:val="20"/>
        </w:rPr>
      </w:pPr>
      <w:r w:rsidRPr="00432208">
        <w:rPr>
          <w:rFonts w:ascii="Helvetica" w:hAnsi="Helvetica" w:cs="Helvetica"/>
          <w:b/>
          <w:bCs/>
          <w:sz w:val="20"/>
          <w:szCs w:val="20"/>
        </w:rPr>
        <w:t xml:space="preserve">Name </w:t>
      </w:r>
      <w:r w:rsidR="009E1FE0">
        <w:rPr>
          <w:rFonts w:ascii="Helvetica" w:hAnsi="Helvetica" w:cs="Helvetica"/>
          <w:b/>
          <w:bCs/>
          <w:sz w:val="20"/>
          <w:szCs w:val="20"/>
        </w:rPr>
        <w:t xml:space="preserve">– </w:t>
      </w:r>
      <w:r w:rsidR="009E1FE0">
        <w:rPr>
          <w:rFonts w:ascii="Helvetica" w:hAnsi="Helvetica" w:cs="Helvetica"/>
          <w:b/>
          <w:bCs/>
          <w:color w:val="4472C4" w:themeColor="accent1"/>
          <w:sz w:val="20"/>
          <w:szCs w:val="20"/>
        </w:rPr>
        <w:t>Jane Mullin</w:t>
      </w:r>
    </w:p>
    <w:p w14:paraId="1CE96B46" w14:textId="1649F8D1" w:rsidR="00E60753" w:rsidRPr="009E1FE0" w:rsidRDefault="00E60753" w:rsidP="00E60753">
      <w:pPr>
        <w:pStyle w:val="NormalWeb"/>
        <w:spacing w:before="0" w:beforeAutospacing="0" w:after="0" w:afterAutospacing="0"/>
        <w:ind w:left="1800"/>
        <w:rPr>
          <w:rFonts w:ascii="Helvetica" w:hAnsi="Helvetica" w:cs="Helvetica"/>
          <w:b/>
          <w:bCs/>
          <w:color w:val="4472C4" w:themeColor="accent1"/>
          <w:sz w:val="20"/>
          <w:szCs w:val="20"/>
        </w:rPr>
      </w:pPr>
      <w:r w:rsidRPr="00432208">
        <w:rPr>
          <w:rFonts w:ascii="Helvetica" w:hAnsi="Helvetica" w:cs="Helvetica"/>
          <w:b/>
          <w:bCs/>
          <w:sz w:val="20"/>
          <w:szCs w:val="20"/>
        </w:rPr>
        <w:t xml:space="preserve">Job Title </w:t>
      </w:r>
      <w:r w:rsidR="009E1FE0">
        <w:rPr>
          <w:rFonts w:ascii="Helvetica" w:hAnsi="Helvetica" w:cs="Helvetica"/>
          <w:b/>
          <w:bCs/>
          <w:sz w:val="20"/>
          <w:szCs w:val="20"/>
        </w:rPr>
        <w:t xml:space="preserve">– </w:t>
      </w:r>
      <w:r w:rsidR="009E1FE0">
        <w:rPr>
          <w:rFonts w:ascii="Helvetica" w:hAnsi="Helvetica" w:cs="Helvetica"/>
          <w:b/>
          <w:bCs/>
          <w:color w:val="4472C4" w:themeColor="accent1"/>
          <w:sz w:val="20"/>
          <w:szCs w:val="20"/>
        </w:rPr>
        <w:t>Deputy Chief People Officer</w:t>
      </w:r>
    </w:p>
    <w:p w14:paraId="41C511DB" w14:textId="77777777" w:rsidR="00E60753" w:rsidRPr="00432208" w:rsidRDefault="00E60753" w:rsidP="00E60753">
      <w:pPr>
        <w:pStyle w:val="NormalWeb"/>
        <w:numPr>
          <w:ilvl w:val="1"/>
          <w:numId w:val="1"/>
        </w:numPr>
        <w:spacing w:before="0" w:beforeAutospacing="0" w:after="0" w:afterAutospacing="0"/>
        <w:rPr>
          <w:rFonts w:ascii="Helvetica" w:hAnsi="Helvetica" w:cs="Helvetica"/>
          <w:b/>
          <w:bCs/>
          <w:sz w:val="20"/>
          <w:szCs w:val="20"/>
        </w:rPr>
      </w:pPr>
      <w:r w:rsidRPr="00432208">
        <w:rPr>
          <w:rFonts w:ascii="Helvetica" w:hAnsi="Helvetica" w:cs="Helvetica"/>
          <w:b/>
          <w:bCs/>
          <w:sz w:val="20"/>
          <w:szCs w:val="20"/>
        </w:rPr>
        <w:t xml:space="preserve">Procurement Lead </w:t>
      </w:r>
    </w:p>
    <w:p w14:paraId="404AC597" w14:textId="3275D944" w:rsidR="00E60753" w:rsidRPr="00432208" w:rsidRDefault="00E60753" w:rsidP="00E60753">
      <w:pPr>
        <w:pStyle w:val="NormalWeb"/>
        <w:spacing w:before="0" w:beforeAutospacing="0" w:after="0" w:afterAutospacing="0"/>
        <w:ind w:left="1980"/>
        <w:rPr>
          <w:rFonts w:ascii="Helvetica" w:hAnsi="Helvetica" w:cs="Helvetica"/>
          <w:b/>
          <w:bCs/>
          <w:sz w:val="20"/>
          <w:szCs w:val="20"/>
        </w:rPr>
      </w:pPr>
      <w:r w:rsidRPr="00432208">
        <w:rPr>
          <w:rFonts w:ascii="Helvetica" w:hAnsi="Helvetica" w:cs="Helvetica"/>
          <w:b/>
          <w:bCs/>
          <w:sz w:val="20"/>
          <w:szCs w:val="20"/>
        </w:rPr>
        <w:t xml:space="preserve">Name </w:t>
      </w:r>
      <w:r w:rsidR="009E1FE0">
        <w:rPr>
          <w:rFonts w:ascii="Helvetica" w:hAnsi="Helvetica" w:cs="Helvetica"/>
          <w:b/>
          <w:bCs/>
          <w:sz w:val="20"/>
          <w:szCs w:val="20"/>
        </w:rPr>
        <w:t xml:space="preserve">– </w:t>
      </w:r>
      <w:r w:rsidR="009E1FE0" w:rsidRPr="009E1FE0">
        <w:rPr>
          <w:rFonts w:ascii="Helvetica" w:hAnsi="Helvetica" w:cs="Helvetica"/>
          <w:b/>
          <w:bCs/>
          <w:color w:val="4472C4" w:themeColor="accent1"/>
          <w:sz w:val="20"/>
          <w:szCs w:val="20"/>
        </w:rPr>
        <w:t>Richard Jolley</w:t>
      </w:r>
    </w:p>
    <w:p w14:paraId="0F8B1331" w14:textId="604F8EAF" w:rsidR="00E60753" w:rsidRPr="00432208" w:rsidRDefault="00E60753" w:rsidP="00E60753">
      <w:pPr>
        <w:pStyle w:val="NormalWeb"/>
        <w:spacing w:before="0" w:beforeAutospacing="0" w:after="0" w:afterAutospacing="0"/>
        <w:ind w:left="1980"/>
        <w:rPr>
          <w:rFonts w:ascii="Helvetica" w:hAnsi="Helvetica" w:cs="Helvetica"/>
          <w:b/>
          <w:bCs/>
          <w:sz w:val="20"/>
          <w:szCs w:val="20"/>
        </w:rPr>
      </w:pPr>
      <w:r w:rsidRPr="00432208">
        <w:rPr>
          <w:rFonts w:ascii="Helvetica" w:hAnsi="Helvetica" w:cs="Helvetica"/>
          <w:b/>
          <w:bCs/>
          <w:sz w:val="20"/>
          <w:szCs w:val="20"/>
        </w:rPr>
        <w:t xml:space="preserve">Job Title </w:t>
      </w:r>
      <w:r w:rsidR="009E1FE0">
        <w:rPr>
          <w:rFonts w:ascii="Helvetica" w:hAnsi="Helvetica" w:cs="Helvetica"/>
          <w:b/>
          <w:bCs/>
          <w:sz w:val="20"/>
          <w:szCs w:val="20"/>
        </w:rPr>
        <w:t xml:space="preserve">- </w:t>
      </w:r>
      <w:r w:rsidR="009E1FE0" w:rsidRPr="009E1FE0">
        <w:rPr>
          <w:rFonts w:ascii="Helvetica" w:hAnsi="Helvetica" w:cs="Helvetica"/>
          <w:b/>
          <w:bCs/>
          <w:color w:val="4472C4" w:themeColor="accent1"/>
          <w:sz w:val="20"/>
          <w:szCs w:val="20"/>
        </w:rPr>
        <w:t>Procurement and Contract Manager</w:t>
      </w:r>
    </w:p>
    <w:p w14:paraId="656BF067" w14:textId="77777777" w:rsidR="00E60753" w:rsidRPr="00432208" w:rsidRDefault="00E60753" w:rsidP="00E60753">
      <w:pPr>
        <w:pStyle w:val="NormalWeb"/>
        <w:numPr>
          <w:ilvl w:val="1"/>
          <w:numId w:val="1"/>
        </w:numPr>
        <w:spacing w:before="0" w:beforeAutospacing="0" w:after="0" w:afterAutospacing="0"/>
        <w:rPr>
          <w:rFonts w:ascii="Helvetica" w:hAnsi="Helvetica" w:cs="Helvetica"/>
          <w:b/>
          <w:bCs/>
          <w:sz w:val="20"/>
          <w:szCs w:val="20"/>
        </w:rPr>
      </w:pPr>
      <w:r w:rsidRPr="00432208">
        <w:rPr>
          <w:rFonts w:ascii="Helvetica" w:hAnsi="Helvetica" w:cs="Helvetica"/>
          <w:b/>
          <w:bCs/>
          <w:sz w:val="20"/>
          <w:szCs w:val="20"/>
        </w:rPr>
        <w:t xml:space="preserve">Finance Lead </w:t>
      </w:r>
    </w:p>
    <w:p w14:paraId="78F282B2" w14:textId="77777777" w:rsidR="00E60753" w:rsidRPr="00432208" w:rsidRDefault="00E60753" w:rsidP="00E60753">
      <w:pPr>
        <w:pStyle w:val="NormalWeb"/>
        <w:spacing w:before="0" w:beforeAutospacing="0" w:after="0" w:afterAutospacing="0"/>
        <w:ind w:left="1980"/>
        <w:rPr>
          <w:rFonts w:ascii="Helvetica" w:hAnsi="Helvetica" w:cs="Helvetica"/>
          <w:b/>
          <w:bCs/>
          <w:sz w:val="20"/>
          <w:szCs w:val="20"/>
        </w:rPr>
      </w:pPr>
      <w:r w:rsidRPr="00432208">
        <w:rPr>
          <w:rFonts w:ascii="Helvetica" w:hAnsi="Helvetica" w:cs="Helvetica"/>
          <w:b/>
          <w:bCs/>
          <w:sz w:val="20"/>
          <w:szCs w:val="20"/>
        </w:rPr>
        <w:t xml:space="preserve">Name </w:t>
      </w:r>
    </w:p>
    <w:p w14:paraId="0A8CDA5B" w14:textId="77777777" w:rsidR="00E60753" w:rsidRPr="00432208" w:rsidRDefault="00E60753" w:rsidP="00E60753">
      <w:pPr>
        <w:pStyle w:val="NormalWeb"/>
        <w:spacing w:before="0" w:beforeAutospacing="0" w:after="0" w:afterAutospacing="0"/>
        <w:ind w:left="1980"/>
        <w:rPr>
          <w:rFonts w:ascii="Helvetica" w:hAnsi="Helvetica" w:cs="Helvetica"/>
          <w:b/>
          <w:bCs/>
          <w:sz w:val="20"/>
          <w:szCs w:val="20"/>
        </w:rPr>
      </w:pPr>
      <w:r w:rsidRPr="00432208">
        <w:rPr>
          <w:rFonts w:ascii="Helvetica" w:hAnsi="Helvetica" w:cs="Helvetica"/>
          <w:b/>
          <w:bCs/>
          <w:sz w:val="20"/>
          <w:szCs w:val="20"/>
        </w:rPr>
        <w:lastRenderedPageBreak/>
        <w:t>Job Title</w:t>
      </w:r>
    </w:p>
    <w:sectPr w:rsidR="00E60753" w:rsidRPr="004322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287B" w14:textId="77777777" w:rsidR="009E1FE0" w:rsidRDefault="009E1FE0" w:rsidP="009E1FE0">
      <w:r>
        <w:separator/>
      </w:r>
    </w:p>
  </w:endnote>
  <w:endnote w:type="continuationSeparator" w:id="0">
    <w:p w14:paraId="214372DD" w14:textId="77777777" w:rsidR="009E1FE0" w:rsidRDefault="009E1FE0" w:rsidP="009E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6DEF" w14:textId="77777777" w:rsidR="009E1FE0" w:rsidRDefault="009E1FE0" w:rsidP="009E1FE0">
      <w:r>
        <w:separator/>
      </w:r>
    </w:p>
  </w:footnote>
  <w:footnote w:type="continuationSeparator" w:id="0">
    <w:p w14:paraId="37BE4D3D" w14:textId="77777777" w:rsidR="009E1FE0" w:rsidRDefault="009E1FE0" w:rsidP="009E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01E3" w14:textId="34F922F4" w:rsidR="009E1FE0" w:rsidRDefault="009E1FE0">
    <w:pPr>
      <w:pStyle w:val="Header"/>
    </w:pPr>
    <w:r>
      <w:t>The Walton Centre NHS Foundation Trust FOI 6170</w:t>
    </w:r>
  </w:p>
  <w:p w14:paraId="56A5CEB4" w14:textId="77777777" w:rsidR="009E1FE0" w:rsidRDefault="009E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0AE"/>
    <w:multiLevelType w:val="hybridMultilevel"/>
    <w:tmpl w:val="03D8E496"/>
    <w:lvl w:ilvl="0" w:tplc="6A9C80A0">
      <w:start w:val="1"/>
      <w:numFmt w:val="decimal"/>
      <w:lvlText w:val="%1."/>
      <w:lvlJc w:val="left"/>
      <w:pPr>
        <w:ind w:left="720" w:hanging="360"/>
      </w:pPr>
      <w:rPr>
        <w:rFonts w:ascii="Helvetica" w:hAnsi="Helvetica" w:cs="Helvetica" w:hint="default"/>
        <w:b/>
      </w:rPr>
    </w:lvl>
    <w:lvl w:ilvl="1" w:tplc="7E7845B8">
      <w:start w:val="1"/>
      <w:numFmt w:val="lowerRoman"/>
      <w:lvlText w:val="%2."/>
      <w:lvlJc w:val="left"/>
      <w:pPr>
        <w:ind w:left="1800" w:hanging="720"/>
      </w:pPr>
      <w:rPr>
        <w:rFonts w:hint="default"/>
      </w:rPr>
    </w:lvl>
    <w:lvl w:ilvl="2" w:tplc="F7703072">
      <w:start w:val="1"/>
      <w:numFmt w:val="bullet"/>
      <w:lvlText w:val="-"/>
      <w:lvlJc w:val="left"/>
      <w:pPr>
        <w:ind w:left="2340" w:hanging="360"/>
      </w:pPr>
      <w:rPr>
        <w:rFonts w:ascii="Helvetica" w:eastAsiaTheme="minorHAnsi" w:hAnsi="Helvetica"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EB2AF0"/>
    <w:multiLevelType w:val="hybridMultilevel"/>
    <w:tmpl w:val="F4502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3112F2"/>
    <w:multiLevelType w:val="hybridMultilevel"/>
    <w:tmpl w:val="037CF6D6"/>
    <w:lvl w:ilvl="0" w:tplc="F7703072">
      <w:start w:val="1"/>
      <w:numFmt w:val="bullet"/>
      <w:lvlText w:val="-"/>
      <w:lvlJc w:val="left"/>
      <w:pPr>
        <w:ind w:left="2700" w:hanging="360"/>
      </w:pPr>
      <w:rPr>
        <w:rFonts w:ascii="Helvetica" w:eastAsiaTheme="minorHAnsi" w:hAnsi="Helvetica" w:cs="Helvetica"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 w15:restartNumberingAfterBreak="0">
    <w:nsid w:val="7F7E5242"/>
    <w:multiLevelType w:val="hybridMultilevel"/>
    <w:tmpl w:val="EC1C8EAE"/>
    <w:lvl w:ilvl="0" w:tplc="F7703072">
      <w:start w:val="1"/>
      <w:numFmt w:val="bullet"/>
      <w:lvlText w:val="-"/>
      <w:lvlJc w:val="left"/>
      <w:pPr>
        <w:ind w:left="2700" w:hanging="360"/>
      </w:pPr>
      <w:rPr>
        <w:rFonts w:ascii="Helvetica" w:eastAsiaTheme="minorHAnsi" w:hAnsi="Helvetica" w:cs="Helvetica"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num w:numId="1" w16cid:durableId="47723717">
    <w:abstractNumId w:val="0"/>
  </w:num>
  <w:num w:numId="2" w16cid:durableId="1744376735">
    <w:abstractNumId w:val="2"/>
  </w:num>
  <w:num w:numId="3" w16cid:durableId="1127047354">
    <w:abstractNumId w:val="3"/>
  </w:num>
  <w:num w:numId="4" w16cid:durableId="1088307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53"/>
    <w:rsid w:val="0024794B"/>
    <w:rsid w:val="003616EE"/>
    <w:rsid w:val="00735DDF"/>
    <w:rsid w:val="009E1FE0"/>
    <w:rsid w:val="00AC71CE"/>
    <w:rsid w:val="00B457A7"/>
    <w:rsid w:val="00E6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FA11"/>
  <w15:chartTrackingRefBased/>
  <w15:docId w15:val="{EDDE2463-1D4D-4422-AB2B-BD21531A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DDF"/>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753"/>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E60753"/>
    <w:rPr>
      <w:b/>
      <w:bCs/>
    </w:rPr>
  </w:style>
  <w:style w:type="paragraph" w:styleId="Header">
    <w:name w:val="header"/>
    <w:basedOn w:val="Normal"/>
    <w:link w:val="HeaderChar"/>
    <w:uiPriority w:val="99"/>
    <w:unhideWhenUsed/>
    <w:rsid w:val="009E1FE0"/>
    <w:pPr>
      <w:tabs>
        <w:tab w:val="center" w:pos="4513"/>
        <w:tab w:val="right" w:pos="9026"/>
      </w:tabs>
    </w:pPr>
  </w:style>
  <w:style w:type="character" w:customStyle="1" w:styleId="HeaderChar">
    <w:name w:val="Header Char"/>
    <w:basedOn w:val="DefaultParagraphFont"/>
    <w:link w:val="Header"/>
    <w:uiPriority w:val="99"/>
    <w:rsid w:val="009E1FE0"/>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9E1FE0"/>
    <w:pPr>
      <w:tabs>
        <w:tab w:val="center" w:pos="4513"/>
        <w:tab w:val="right" w:pos="9026"/>
      </w:tabs>
    </w:pPr>
  </w:style>
  <w:style w:type="character" w:customStyle="1" w:styleId="FooterChar">
    <w:name w:val="Footer Char"/>
    <w:basedOn w:val="DefaultParagraphFont"/>
    <w:link w:val="Footer"/>
    <w:uiPriority w:val="99"/>
    <w:rsid w:val="009E1FE0"/>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9E1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8588">
      <w:bodyDiv w:val="1"/>
      <w:marLeft w:val="0"/>
      <w:marRight w:val="0"/>
      <w:marTop w:val="0"/>
      <w:marBottom w:val="0"/>
      <w:divBdr>
        <w:top w:val="none" w:sz="0" w:space="0" w:color="auto"/>
        <w:left w:val="none" w:sz="0" w:space="0" w:color="auto"/>
        <w:bottom w:val="none" w:sz="0" w:space="0" w:color="auto"/>
        <w:right w:val="none" w:sz="0" w:space="0" w:color="auto"/>
      </w:divBdr>
    </w:div>
    <w:div w:id="12343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6742F-4413-49DE-A76F-1DE916E5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558</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Fionn (THE WALTON CENTRE NHS FOUNDATION TRUST)</dc:creator>
  <cp:keywords/>
  <dc:description/>
  <cp:lastModifiedBy>Moorcroft, Craig</cp:lastModifiedBy>
  <cp:revision>2</cp:revision>
  <dcterms:created xsi:type="dcterms:W3CDTF">2024-03-08T10:25:00Z</dcterms:created>
  <dcterms:modified xsi:type="dcterms:W3CDTF">2024-03-08T10:25:00Z</dcterms:modified>
</cp:coreProperties>
</file>